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083" w:rsidRPr="00892D9B" w:rsidRDefault="00011083" w:rsidP="00011083">
      <w:pPr>
        <w:jc w:val="center"/>
        <w:rPr>
          <w:rStyle w:val="Lienhypertexte"/>
          <w:b/>
          <w:i/>
          <w:color w:val="0070C0"/>
          <w:sz w:val="22"/>
          <w:szCs w:val="22"/>
          <w:u w:val="none"/>
          <w:lang w:val="fr-FR"/>
        </w:rPr>
      </w:pPr>
      <w:r w:rsidRPr="00892D9B">
        <w:rPr>
          <w:rStyle w:val="Lienhypertexte"/>
          <w:b/>
          <w:i/>
          <w:color w:val="0070C0"/>
          <w:sz w:val="22"/>
          <w:szCs w:val="22"/>
          <w:u w:val="none"/>
          <w:lang w:val="fr-FR"/>
        </w:rPr>
        <w:t>INFORMATIONS CLES POUR L’INVESTISSEUR</w:t>
      </w:r>
    </w:p>
    <w:p w:rsidR="00011083" w:rsidRPr="00892D9B" w:rsidRDefault="00011083" w:rsidP="00CA126F">
      <w:pPr>
        <w:pStyle w:val="Default"/>
        <w:spacing w:after="120"/>
        <w:rPr>
          <w:rStyle w:val="Lienhypertexte"/>
          <w:color w:val="auto"/>
          <w:sz w:val="16"/>
          <w:szCs w:val="16"/>
          <w:u w:val="none"/>
        </w:rPr>
      </w:pPr>
    </w:p>
    <w:p w:rsidR="00011083" w:rsidRDefault="00011083" w:rsidP="00CA126F">
      <w:pPr>
        <w:keepNext w:val="0"/>
        <w:keepLines w:val="0"/>
        <w:autoSpaceDE w:val="0"/>
        <w:autoSpaceDN w:val="0"/>
        <w:adjustRightInd w:val="0"/>
        <w:spacing w:after="120"/>
        <w:rPr>
          <w:rStyle w:val="Lienhypertexte"/>
          <w:color w:val="auto"/>
          <w:sz w:val="16"/>
          <w:szCs w:val="16"/>
          <w:u w:val="none"/>
          <w:lang w:val="fr-FR"/>
        </w:rPr>
      </w:pPr>
      <w:r w:rsidRPr="00892D9B">
        <w:rPr>
          <w:rStyle w:val="Lienhypertexte"/>
          <w:color w:val="auto"/>
          <w:sz w:val="16"/>
          <w:szCs w:val="16"/>
          <w:u w:val="none"/>
          <w:lang w:val="fr-FR"/>
        </w:rPr>
        <w:t>« </w:t>
      </w:r>
      <w:r w:rsidRPr="00892D9B">
        <w:rPr>
          <w:rStyle w:val="Lienhypertexte"/>
          <w:i/>
          <w:color w:val="auto"/>
          <w:sz w:val="16"/>
          <w:szCs w:val="16"/>
          <w:u w:val="none"/>
          <w:lang w:val="fr-FR"/>
        </w:rPr>
        <w:t xml:space="preserve">Ce document fournit des informations essentielles aux investisseurs de ce </w:t>
      </w:r>
      <w:r w:rsidR="00011E81" w:rsidRPr="00892D9B">
        <w:rPr>
          <w:rStyle w:val="Lienhypertexte"/>
          <w:i/>
          <w:color w:val="auto"/>
          <w:sz w:val="16"/>
          <w:szCs w:val="16"/>
          <w:u w:val="none"/>
          <w:lang w:val="fr-FR"/>
        </w:rPr>
        <w:t>FIP</w:t>
      </w:r>
      <w:r w:rsidRPr="00892D9B">
        <w:rPr>
          <w:rStyle w:val="Lienhypertexte"/>
          <w:i/>
          <w:color w:val="auto"/>
          <w:sz w:val="16"/>
          <w:szCs w:val="16"/>
          <w:u w:val="none"/>
          <w:lang w:val="fr-FR"/>
        </w:rPr>
        <w:t>. Il ne s’agit pas d’un document promotionnel. Les informations qu’il contient vous sont fournies conformément à une obligation légale, afin de vous aider à comprendre en quoi consiste un investissement dans ce fonds et quels risques y sont associés. Il vous est conseillé de le lire pour décider en connaissance de cause d’investir ou non. </w:t>
      </w:r>
      <w:r w:rsidRPr="00892D9B">
        <w:rPr>
          <w:rStyle w:val="Lienhypertexte"/>
          <w:color w:val="auto"/>
          <w:sz w:val="16"/>
          <w:szCs w:val="16"/>
          <w:u w:val="none"/>
          <w:lang w:val="fr-FR"/>
        </w:rPr>
        <w:t>»</w:t>
      </w:r>
    </w:p>
    <w:p w:rsidR="008345A7" w:rsidRPr="008345A7" w:rsidRDefault="008345A7" w:rsidP="00CA126F">
      <w:pPr>
        <w:keepNext w:val="0"/>
        <w:keepLines w:val="0"/>
        <w:autoSpaceDE w:val="0"/>
        <w:autoSpaceDN w:val="0"/>
        <w:adjustRightInd w:val="0"/>
        <w:spacing w:after="120"/>
        <w:rPr>
          <w:rStyle w:val="Lienhypertexte"/>
          <w:color w:val="auto"/>
          <w:sz w:val="16"/>
          <w:szCs w:val="16"/>
          <w:u w:val="none"/>
          <w:lang w:val="fr-FR"/>
        </w:rPr>
      </w:pPr>
    </w:p>
    <w:p w:rsidR="00011083" w:rsidRPr="003F5433" w:rsidRDefault="00011083" w:rsidP="00011083">
      <w:pPr>
        <w:rPr>
          <w:rStyle w:val="Lienhypertexte"/>
          <w:i/>
          <w:color w:val="auto"/>
          <w:sz w:val="16"/>
          <w:szCs w:val="16"/>
          <w:u w:val="none"/>
          <w:lang w:val="fr-FR"/>
        </w:rPr>
      </w:pPr>
    </w:p>
    <w:p w:rsidR="002B09E9" w:rsidRPr="003F5433" w:rsidRDefault="002B09E9" w:rsidP="002B09E9">
      <w:pPr>
        <w:autoSpaceDE w:val="0"/>
        <w:autoSpaceDN w:val="0"/>
        <w:adjustRightInd w:val="0"/>
        <w:jc w:val="center"/>
        <w:rPr>
          <w:b/>
          <w:bCs/>
          <w:i/>
          <w:color w:val="4F81BD"/>
          <w:sz w:val="22"/>
          <w:szCs w:val="22"/>
          <w:lang w:val="fr-FR"/>
        </w:rPr>
      </w:pPr>
      <w:r w:rsidRPr="003F5433">
        <w:rPr>
          <w:b/>
          <w:bCs/>
          <w:i/>
          <w:color w:val="4F81BD"/>
          <w:sz w:val="22"/>
          <w:szCs w:val="22"/>
          <w:lang w:val="fr-FR"/>
        </w:rPr>
        <w:t>RHÔNE-</w:t>
      </w:r>
      <w:r w:rsidRPr="00B9009E">
        <w:rPr>
          <w:b/>
          <w:bCs/>
          <w:i/>
          <w:color w:val="4F81BD"/>
          <w:sz w:val="22"/>
          <w:szCs w:val="22"/>
          <w:lang w:val="fr-FR"/>
        </w:rPr>
        <w:t>ALPES</w:t>
      </w:r>
      <w:r w:rsidRPr="003F5433">
        <w:rPr>
          <w:b/>
          <w:bCs/>
          <w:i/>
          <w:color w:val="4F81BD"/>
          <w:sz w:val="22"/>
          <w:szCs w:val="22"/>
          <w:lang w:val="fr-FR"/>
        </w:rPr>
        <w:t xml:space="preserve"> PME 2011</w:t>
      </w:r>
      <w:r w:rsidR="003F5433" w:rsidRPr="003F5433">
        <w:rPr>
          <w:b/>
          <w:bCs/>
          <w:i/>
          <w:color w:val="4F81BD"/>
          <w:sz w:val="22"/>
          <w:szCs w:val="22"/>
          <w:lang w:val="fr-FR"/>
        </w:rPr>
        <w:t xml:space="preserve"> </w:t>
      </w:r>
      <w:r w:rsidR="004F2870" w:rsidRPr="003F5433">
        <w:rPr>
          <w:b/>
          <w:bCs/>
          <w:i/>
          <w:color w:val="4F81BD"/>
          <w:sz w:val="22"/>
          <w:szCs w:val="22"/>
          <w:lang w:val="fr-FR"/>
        </w:rPr>
        <w:t>(</w:t>
      </w:r>
      <w:r w:rsidR="004F2870" w:rsidRPr="004F2870">
        <w:rPr>
          <w:i/>
          <w:color w:val="4F81BD"/>
          <w:sz w:val="22"/>
          <w:szCs w:val="22"/>
          <w:lang w:val="fr-FR"/>
        </w:rPr>
        <w:t>FR0011021625</w:t>
      </w:r>
      <w:r w:rsidR="004F2870" w:rsidRPr="0043729C">
        <w:rPr>
          <w:i/>
          <w:sz w:val="22"/>
          <w:szCs w:val="22"/>
          <w:lang w:val="fr-FR"/>
        </w:rPr>
        <w:t>)</w:t>
      </w:r>
    </w:p>
    <w:p w:rsidR="00B9009E" w:rsidRPr="008A0B63" w:rsidRDefault="00B9009E" w:rsidP="00CA126F">
      <w:pPr>
        <w:jc w:val="center"/>
        <w:rPr>
          <w:rStyle w:val="Lienhypertexte"/>
          <w:b/>
          <w:i/>
          <w:color w:val="4F81BD"/>
          <w:sz w:val="18"/>
          <w:szCs w:val="18"/>
          <w:u w:val="none"/>
          <w:lang w:val="fr-FR"/>
        </w:rPr>
      </w:pPr>
      <w:r w:rsidRPr="008A0B63">
        <w:rPr>
          <w:rStyle w:val="Lienhypertexte"/>
          <w:b/>
          <w:i/>
          <w:color w:val="4F81BD"/>
          <w:sz w:val="18"/>
          <w:szCs w:val="18"/>
          <w:u w:val="none"/>
          <w:lang w:val="fr-FR"/>
        </w:rPr>
        <w:t>Fonds d’investissement de proximité (FIP) non coordonné soumis au droit français</w:t>
      </w:r>
    </w:p>
    <w:p w:rsidR="00011083" w:rsidRPr="00892D9B" w:rsidRDefault="00011083" w:rsidP="008A0B63">
      <w:pPr>
        <w:autoSpaceDE w:val="0"/>
        <w:autoSpaceDN w:val="0"/>
        <w:adjustRightInd w:val="0"/>
        <w:spacing w:after="120"/>
        <w:jc w:val="center"/>
        <w:rPr>
          <w:b/>
          <w:bCs/>
          <w:i/>
          <w:color w:val="4F81BD"/>
          <w:sz w:val="22"/>
          <w:szCs w:val="22"/>
          <w:lang w:val="fr-FR"/>
        </w:rPr>
      </w:pPr>
      <w:r w:rsidRPr="008A0B63">
        <w:rPr>
          <w:b/>
          <w:bCs/>
          <w:i/>
          <w:color w:val="4F81BD"/>
          <w:sz w:val="18"/>
          <w:szCs w:val="18"/>
          <w:lang w:val="fr-FR"/>
        </w:rPr>
        <w:t xml:space="preserve">Société de Gestion : </w:t>
      </w:r>
      <w:r w:rsidR="002B09E9" w:rsidRPr="008A0B63">
        <w:rPr>
          <w:b/>
          <w:bCs/>
          <w:i/>
          <w:color w:val="4F81BD"/>
          <w:sz w:val="18"/>
          <w:szCs w:val="18"/>
          <w:lang w:val="fr-FR"/>
        </w:rPr>
        <w:t>Rh</w:t>
      </w:r>
      <w:r w:rsidR="00B9009E" w:rsidRPr="008A0B63">
        <w:rPr>
          <w:b/>
          <w:bCs/>
          <w:i/>
          <w:color w:val="4F81BD"/>
          <w:sz w:val="18"/>
          <w:szCs w:val="18"/>
          <w:lang w:val="fr-FR"/>
        </w:rPr>
        <w:t>ô</w:t>
      </w:r>
      <w:r w:rsidR="002B09E9" w:rsidRPr="008A0B63">
        <w:rPr>
          <w:b/>
          <w:bCs/>
          <w:i/>
          <w:color w:val="4F81BD"/>
          <w:sz w:val="18"/>
          <w:szCs w:val="18"/>
          <w:lang w:val="fr-FR"/>
        </w:rPr>
        <w:t>ne-Alpes PME Gestion</w:t>
      </w:r>
      <w:r w:rsidR="008A0B63" w:rsidRPr="008A0B63">
        <w:rPr>
          <w:b/>
          <w:bCs/>
          <w:i/>
          <w:color w:val="4F81BD"/>
          <w:sz w:val="18"/>
          <w:szCs w:val="18"/>
          <w:lang w:val="fr-FR"/>
        </w:rPr>
        <w:t xml:space="preserve"> - </w:t>
      </w:r>
      <w:r w:rsidR="008A0B63" w:rsidRPr="008A0B63">
        <w:rPr>
          <w:rFonts w:cs="Arial"/>
          <w:i/>
          <w:color w:val="4F81BD"/>
          <w:sz w:val="18"/>
          <w:szCs w:val="18"/>
          <w:lang w:val="fr-FR"/>
        </w:rPr>
        <w:t>139, rue Vendôme - 69477 Lyon Cedex 06</w:t>
      </w:r>
      <w:r w:rsidR="00D6145D">
        <w:rPr>
          <w:rFonts w:cs="Arial"/>
          <w:i/>
          <w:color w:val="4F81BD"/>
          <w:sz w:val="18"/>
          <w:szCs w:val="18"/>
          <w:lang w:val="fr-FR"/>
        </w:rPr>
        <w:t xml:space="preserve"> (Groupe </w:t>
      </w:r>
      <w:proofErr w:type="spellStart"/>
      <w:r w:rsidR="00D6145D">
        <w:rPr>
          <w:rFonts w:cs="Arial"/>
          <w:i/>
          <w:color w:val="4F81BD"/>
          <w:sz w:val="18"/>
          <w:szCs w:val="18"/>
          <w:lang w:val="fr-FR"/>
        </w:rPr>
        <w:t>Siparex</w:t>
      </w:r>
      <w:proofErr w:type="spellEnd"/>
      <w:r w:rsidR="00D6145D">
        <w:rPr>
          <w:rFonts w:cs="Arial"/>
          <w:i/>
          <w:color w:val="4F81BD"/>
          <w:sz w:val="18"/>
          <w:szCs w:val="18"/>
          <w:lang w:val="fr-FR"/>
        </w:rPr>
        <w:t>)</w:t>
      </w:r>
    </w:p>
    <w:p w:rsidR="00011083" w:rsidRDefault="00011083" w:rsidP="00011083">
      <w:pPr>
        <w:rPr>
          <w:rStyle w:val="Lienhypertexte"/>
          <w:color w:val="auto"/>
          <w:sz w:val="16"/>
          <w:szCs w:val="16"/>
          <w:u w:val="none"/>
          <w:lang w:val="fr-FR"/>
        </w:rPr>
      </w:pPr>
    </w:p>
    <w:p w:rsidR="008F2B1C" w:rsidRPr="00B9009E" w:rsidRDefault="008F2B1C" w:rsidP="00011083">
      <w:pPr>
        <w:rPr>
          <w:rStyle w:val="Lienhypertexte"/>
          <w:color w:val="auto"/>
          <w:sz w:val="16"/>
          <w:szCs w:val="16"/>
          <w:u w:val="none"/>
          <w:lang w:val="fr-FR"/>
        </w:rPr>
      </w:pPr>
    </w:p>
    <w:p w:rsidR="00011083" w:rsidRPr="00892D9B" w:rsidRDefault="00011083" w:rsidP="00011083">
      <w:pPr>
        <w:rPr>
          <w:rStyle w:val="Lienhypertexte"/>
          <w:b/>
          <w:i/>
          <w:color w:val="auto"/>
          <w:szCs w:val="20"/>
          <w:u w:val="none"/>
          <w:lang w:val="fr-FR"/>
        </w:rPr>
      </w:pPr>
      <w:r w:rsidRPr="00892D9B">
        <w:rPr>
          <w:rStyle w:val="Lienhypertexte"/>
          <w:b/>
          <w:i/>
          <w:color w:val="auto"/>
          <w:szCs w:val="20"/>
          <w:u w:val="none"/>
          <w:lang w:val="fr-FR"/>
        </w:rPr>
        <w:t>1° - Objectifs et politique d’investissement du Fonds</w:t>
      </w:r>
    </w:p>
    <w:p w:rsidR="00011083" w:rsidRPr="00892D9B" w:rsidRDefault="00011083" w:rsidP="00011083">
      <w:pPr>
        <w:rPr>
          <w:rStyle w:val="Lienhypertexte"/>
          <w:color w:val="auto"/>
          <w:sz w:val="16"/>
          <w:szCs w:val="16"/>
          <w:u w:val="none"/>
          <w:lang w:val="fr-FR"/>
        </w:rPr>
      </w:pPr>
    </w:p>
    <w:p w:rsidR="005A3D7B" w:rsidRPr="00892D9B" w:rsidRDefault="002B09E9" w:rsidP="00E3583D">
      <w:pPr>
        <w:keepNext w:val="0"/>
        <w:keepLines w:val="0"/>
        <w:spacing w:after="120"/>
        <w:rPr>
          <w:sz w:val="16"/>
          <w:szCs w:val="16"/>
          <w:lang w:val="fr-FR"/>
        </w:rPr>
      </w:pPr>
      <w:r w:rsidRPr="00892D9B">
        <w:rPr>
          <w:rFonts w:cs="Times"/>
          <w:sz w:val="16"/>
          <w:szCs w:val="16"/>
          <w:lang w:val="fr-FR"/>
        </w:rPr>
        <w:t xml:space="preserve">Le Fonds </w:t>
      </w:r>
      <w:r w:rsidR="004F2870">
        <w:rPr>
          <w:rFonts w:cs="Times"/>
          <w:sz w:val="16"/>
          <w:szCs w:val="16"/>
          <w:lang w:val="fr-FR"/>
        </w:rPr>
        <w:t>est un fond</w:t>
      </w:r>
      <w:r w:rsidR="00E2449C">
        <w:rPr>
          <w:rFonts w:cs="Times"/>
          <w:sz w:val="16"/>
          <w:szCs w:val="16"/>
          <w:lang w:val="fr-FR"/>
        </w:rPr>
        <w:t>s d’investissement de proximité.</w:t>
      </w:r>
      <w:r w:rsidR="00CA126F">
        <w:rPr>
          <w:rFonts w:cs="Times"/>
          <w:sz w:val="16"/>
          <w:szCs w:val="16"/>
          <w:lang w:val="fr-FR"/>
        </w:rPr>
        <w:t xml:space="preserve"> </w:t>
      </w:r>
      <w:r w:rsidR="00E2449C">
        <w:rPr>
          <w:rFonts w:cs="Times"/>
          <w:sz w:val="16"/>
          <w:szCs w:val="16"/>
          <w:lang w:val="fr-FR"/>
        </w:rPr>
        <w:t>Il</w:t>
      </w:r>
      <w:r w:rsidR="004F2870">
        <w:rPr>
          <w:rFonts w:cs="Times"/>
          <w:sz w:val="16"/>
          <w:szCs w:val="16"/>
          <w:lang w:val="fr-FR"/>
        </w:rPr>
        <w:t xml:space="preserve"> </w:t>
      </w:r>
      <w:r w:rsidRPr="00892D9B">
        <w:rPr>
          <w:rFonts w:cs="Times"/>
          <w:sz w:val="16"/>
          <w:szCs w:val="16"/>
          <w:lang w:val="fr-FR"/>
        </w:rPr>
        <w:t>a pour objectif de réaliser des plus-values en investissant au minimum 60% des sommes collectées dans la constitution d’un portefeuille diversifié de participations dans des PME</w:t>
      </w:r>
      <w:r w:rsidR="00117FC1">
        <w:rPr>
          <w:rFonts w:cs="Times"/>
          <w:sz w:val="16"/>
          <w:szCs w:val="16"/>
          <w:lang w:val="fr-FR"/>
        </w:rPr>
        <w:t xml:space="preserve"> </w:t>
      </w:r>
      <w:r w:rsidR="00117FC1" w:rsidRPr="00117FC1">
        <w:rPr>
          <w:rFonts w:cs="Arial"/>
          <w:sz w:val="16"/>
          <w:szCs w:val="16"/>
          <w:lang w:val="fr-FR"/>
        </w:rPr>
        <w:t xml:space="preserve">respectant les critères fixés à l’article L </w:t>
      </w:r>
      <w:r w:rsidR="008B7372">
        <w:rPr>
          <w:rFonts w:cs="Arial"/>
          <w:sz w:val="16"/>
          <w:szCs w:val="16"/>
          <w:lang w:val="fr-FR"/>
        </w:rPr>
        <w:t>214-31</w:t>
      </w:r>
      <w:r w:rsidR="00117FC1" w:rsidRPr="00117FC1">
        <w:rPr>
          <w:rFonts w:cs="Arial"/>
          <w:sz w:val="16"/>
          <w:szCs w:val="16"/>
          <w:lang w:val="fr-FR"/>
        </w:rPr>
        <w:t xml:space="preserve"> du Code monétaire et financier</w:t>
      </w:r>
      <w:r w:rsidR="000D0EED" w:rsidRPr="00892D9B">
        <w:rPr>
          <w:rFonts w:cs="Times"/>
          <w:sz w:val="16"/>
          <w:szCs w:val="16"/>
          <w:lang w:val="fr-FR"/>
        </w:rPr>
        <w:t>, principalement non cotées</w:t>
      </w:r>
      <w:r w:rsidR="00E87AEC" w:rsidRPr="00892D9B">
        <w:rPr>
          <w:sz w:val="16"/>
          <w:szCs w:val="16"/>
          <w:lang w:val="fr-FR"/>
        </w:rPr>
        <w:t xml:space="preserve"> et </w:t>
      </w:r>
      <w:r w:rsidR="00E87AEC" w:rsidRPr="00892D9B" w:rsidDel="00E87AEC">
        <w:rPr>
          <w:color w:val="000000"/>
          <w:sz w:val="16"/>
          <w:szCs w:val="16"/>
          <w:lang w:val="fr-FR"/>
        </w:rPr>
        <w:t xml:space="preserve">qui exercent leurs activités principalement dans les régions </w:t>
      </w:r>
      <w:r w:rsidR="00E87AEC" w:rsidRPr="00892D9B" w:rsidDel="00E87AEC">
        <w:rPr>
          <w:sz w:val="16"/>
          <w:szCs w:val="16"/>
          <w:lang w:val="fr-FR"/>
        </w:rPr>
        <w:t>Bourgogne, Rhône Alpes et Ile de France ou, lorsque cette condition ne trouve pas à s'appliquer, dans des sociétés qui y ont établi leur siège social.</w:t>
      </w:r>
    </w:p>
    <w:p w:rsidR="00450DE3" w:rsidRDefault="0007571F" w:rsidP="00E2449C">
      <w:pPr>
        <w:pStyle w:val="Corpsdetexte"/>
        <w:spacing w:after="120"/>
        <w:rPr>
          <w:rFonts w:ascii="Arial" w:hAnsi="Arial"/>
          <w:sz w:val="16"/>
          <w:szCs w:val="16"/>
        </w:rPr>
      </w:pPr>
      <w:r w:rsidRPr="00892D9B">
        <w:rPr>
          <w:rFonts w:ascii="Arial" w:hAnsi="Arial"/>
          <w:color w:val="000000"/>
          <w:sz w:val="16"/>
          <w:szCs w:val="16"/>
        </w:rPr>
        <w:t xml:space="preserve">Le Fonds investira principalement dans le cadre d’opérations de capital développement. </w:t>
      </w:r>
      <w:r w:rsidRPr="00892D9B">
        <w:rPr>
          <w:rFonts w:ascii="Arial" w:hAnsi="Arial"/>
          <w:sz w:val="16"/>
          <w:szCs w:val="16"/>
        </w:rPr>
        <w:t>Il</w:t>
      </w:r>
      <w:r w:rsidR="00E87AEC" w:rsidRPr="00892D9B">
        <w:rPr>
          <w:rFonts w:ascii="Arial" w:hAnsi="Arial"/>
          <w:sz w:val="16"/>
          <w:szCs w:val="16"/>
        </w:rPr>
        <w:t xml:space="preserve"> interviendra dans des entreprises de taille modeste, (c'est-à-dire réalisant en général un chiffre d'affaires inférieur à 13 millions d'euros), notamment des entreprises ayant moins de 250 salariés, généralement non cotées et souhaitant renforcer leurs fonds propres.</w:t>
      </w:r>
    </w:p>
    <w:p w:rsidR="004F2870" w:rsidRPr="00EA4208" w:rsidRDefault="0007571F" w:rsidP="00E2449C">
      <w:pPr>
        <w:pStyle w:val="Corpsdetexte"/>
        <w:spacing w:after="120"/>
        <w:rPr>
          <w:rFonts w:ascii="Arial" w:hAnsi="Arial" w:cs="Arial"/>
          <w:color w:val="000000"/>
          <w:sz w:val="16"/>
          <w:szCs w:val="16"/>
        </w:rPr>
      </w:pPr>
      <w:r w:rsidRPr="00EA4208">
        <w:rPr>
          <w:rFonts w:ascii="Arial" w:hAnsi="Arial" w:cs="Arial"/>
          <w:color w:val="000000"/>
          <w:sz w:val="16"/>
          <w:szCs w:val="16"/>
        </w:rPr>
        <w:t>L</w:t>
      </w:r>
      <w:r w:rsidR="00E87AEC" w:rsidRPr="00EA4208">
        <w:rPr>
          <w:rFonts w:ascii="Arial" w:hAnsi="Arial" w:cs="Arial"/>
          <w:color w:val="000000"/>
          <w:sz w:val="16"/>
          <w:szCs w:val="16"/>
        </w:rPr>
        <w:t>es investissements seront principalement orientés vers des sociétés dont le chiffre d’affaires est inférieur à 7,5 millions d’euros ou vers des entreprises qui réalisent un chiffre d’affaires supérieur à 7,5 millions et pour lesquelles l’investissement envisagé est inférieur à 1,25 millions d’euros.</w:t>
      </w:r>
    </w:p>
    <w:p w:rsidR="00EA4208" w:rsidRPr="00DC38D5" w:rsidRDefault="0007571F" w:rsidP="00380E0C">
      <w:pPr>
        <w:keepNext w:val="0"/>
        <w:keepLines w:val="0"/>
        <w:spacing w:after="120"/>
        <w:rPr>
          <w:rFonts w:cs="Arial"/>
          <w:color w:val="000000"/>
          <w:sz w:val="16"/>
          <w:szCs w:val="16"/>
          <w:lang w:val="fr-FR"/>
        </w:rPr>
      </w:pPr>
      <w:r w:rsidRPr="002C2958">
        <w:rPr>
          <w:color w:val="000000"/>
          <w:sz w:val="16"/>
          <w:szCs w:val="16"/>
          <w:lang w:val="fr-FR"/>
        </w:rPr>
        <w:t>En outre, le Fonds investira au minimum 20% des sommes collectées dans de jeunes entreprises ayant moins de huit ans d’existence.</w:t>
      </w:r>
      <w:r w:rsidR="00DC38D5">
        <w:rPr>
          <w:color w:val="000000"/>
          <w:sz w:val="16"/>
          <w:szCs w:val="16"/>
          <w:lang w:val="fr-FR"/>
        </w:rPr>
        <w:t xml:space="preserve"> </w:t>
      </w:r>
      <w:r w:rsidR="00DC38D5" w:rsidRPr="00DC38D5">
        <w:rPr>
          <w:rFonts w:cs="Arial"/>
          <w:color w:val="000000"/>
          <w:sz w:val="16"/>
          <w:szCs w:val="16"/>
          <w:lang w:val="fr-FR"/>
        </w:rPr>
        <w:t>Certains investissements pourront donc être assimilés à des opérations de capital risque.</w:t>
      </w:r>
    </w:p>
    <w:p w:rsidR="004F2870" w:rsidRPr="002C2958" w:rsidRDefault="0007571F" w:rsidP="004F511D">
      <w:pPr>
        <w:spacing w:after="240"/>
        <w:rPr>
          <w:color w:val="000000"/>
          <w:sz w:val="16"/>
          <w:szCs w:val="16"/>
          <w:lang w:val="fr-FR"/>
        </w:rPr>
      </w:pPr>
      <w:r w:rsidRPr="006A4A73">
        <w:rPr>
          <w:color w:val="000000"/>
          <w:sz w:val="16"/>
          <w:szCs w:val="16"/>
          <w:lang w:val="fr-FR"/>
        </w:rPr>
        <w:t>Par ailleurs, le Fonds investir</w:t>
      </w:r>
      <w:r w:rsidR="002A5962" w:rsidRPr="006A4A73">
        <w:rPr>
          <w:color w:val="000000"/>
          <w:sz w:val="16"/>
          <w:szCs w:val="16"/>
          <w:lang w:val="fr-FR"/>
        </w:rPr>
        <w:t>a</w:t>
      </w:r>
      <w:r w:rsidRPr="006A4A73">
        <w:rPr>
          <w:color w:val="000000"/>
          <w:sz w:val="16"/>
          <w:szCs w:val="16"/>
          <w:lang w:val="fr-FR"/>
        </w:rPr>
        <w:t xml:space="preserve"> </w:t>
      </w:r>
      <w:r w:rsidR="002A5962" w:rsidRPr="006A4A73">
        <w:rPr>
          <w:color w:val="000000"/>
          <w:sz w:val="16"/>
          <w:szCs w:val="16"/>
          <w:lang w:val="fr-FR"/>
        </w:rPr>
        <w:t xml:space="preserve">dans des entreprises qui pourront être cotées sur </w:t>
      </w:r>
      <w:proofErr w:type="spellStart"/>
      <w:r w:rsidR="002A5962" w:rsidRPr="006A4A73">
        <w:rPr>
          <w:color w:val="000000"/>
          <w:sz w:val="16"/>
          <w:szCs w:val="16"/>
          <w:lang w:val="fr-FR"/>
        </w:rPr>
        <w:t>Alternext</w:t>
      </w:r>
      <w:proofErr w:type="spellEnd"/>
      <w:r w:rsidR="002A5962" w:rsidRPr="006A4A73">
        <w:rPr>
          <w:color w:val="000000"/>
          <w:sz w:val="16"/>
          <w:szCs w:val="16"/>
          <w:lang w:val="fr-FR"/>
        </w:rPr>
        <w:t xml:space="preserve"> ou sur le Marché Libre OTC.</w:t>
      </w:r>
      <w:r w:rsidR="00EA4208" w:rsidRPr="00EA4208">
        <w:rPr>
          <w:lang w:val="fr-FR"/>
        </w:rPr>
        <w:t xml:space="preserve"> </w:t>
      </w:r>
      <w:r w:rsidR="00EA4208" w:rsidRPr="00EA4208">
        <w:rPr>
          <w:sz w:val="16"/>
          <w:szCs w:val="16"/>
          <w:lang w:val="fr-FR"/>
        </w:rPr>
        <w:t>Le Fonds n’investira pas plus de 20 % de l’actif en titres cotés.</w:t>
      </w:r>
    </w:p>
    <w:p w:rsidR="00EA4208" w:rsidRPr="008413AA" w:rsidRDefault="00E87AEC" w:rsidP="00182D74">
      <w:pPr>
        <w:autoSpaceDE w:val="0"/>
        <w:autoSpaceDN w:val="0"/>
        <w:adjustRightInd w:val="0"/>
        <w:spacing w:after="120"/>
        <w:rPr>
          <w:sz w:val="16"/>
          <w:szCs w:val="16"/>
          <w:lang w:val="fr-FR"/>
        </w:rPr>
      </w:pPr>
      <w:r w:rsidRPr="00892D9B">
        <w:rPr>
          <w:color w:val="000000"/>
          <w:sz w:val="16"/>
          <w:szCs w:val="16"/>
          <w:lang w:val="fr-FR"/>
        </w:rPr>
        <w:t>L</w:t>
      </w:r>
      <w:r w:rsidRPr="00892D9B">
        <w:rPr>
          <w:sz w:val="16"/>
          <w:szCs w:val="16"/>
          <w:lang w:val="fr-FR"/>
        </w:rPr>
        <w:t xml:space="preserve">a société de gestion a pour objectif de gérer les actifs non compris dans le quota de 60 % de manière prudente. En conséquence, la partie des actifs du Fonds qui n’est pas comprise dans le quota de 60 % </w:t>
      </w:r>
      <w:r w:rsidR="00EA4208">
        <w:rPr>
          <w:sz w:val="16"/>
          <w:szCs w:val="16"/>
          <w:lang w:val="fr-FR"/>
        </w:rPr>
        <w:t xml:space="preserve">sera </w:t>
      </w:r>
      <w:r w:rsidR="00EA4208" w:rsidRPr="008413AA">
        <w:rPr>
          <w:sz w:val="16"/>
          <w:szCs w:val="16"/>
          <w:lang w:val="fr-FR"/>
        </w:rPr>
        <w:t>principalement investi</w:t>
      </w:r>
      <w:r w:rsidR="008413AA">
        <w:rPr>
          <w:sz w:val="16"/>
          <w:szCs w:val="16"/>
          <w:lang w:val="fr-FR"/>
        </w:rPr>
        <w:t>e</w:t>
      </w:r>
      <w:r w:rsidR="00EA4208" w:rsidRPr="008413AA">
        <w:rPr>
          <w:sz w:val="16"/>
          <w:szCs w:val="16"/>
          <w:lang w:val="fr-FR"/>
        </w:rPr>
        <w:t xml:space="preserve"> </w:t>
      </w:r>
      <w:r w:rsidR="004F511D" w:rsidRPr="008413AA">
        <w:rPr>
          <w:sz w:val="16"/>
          <w:szCs w:val="16"/>
          <w:lang w:val="fr-FR"/>
        </w:rPr>
        <w:t>dans</w:t>
      </w:r>
      <w:r w:rsidRPr="008413AA">
        <w:rPr>
          <w:sz w:val="16"/>
          <w:szCs w:val="16"/>
          <w:lang w:val="fr-FR"/>
        </w:rPr>
        <w:t xml:space="preserve"> de</w:t>
      </w:r>
      <w:r w:rsidR="004F511D" w:rsidRPr="008413AA">
        <w:rPr>
          <w:sz w:val="16"/>
          <w:szCs w:val="16"/>
          <w:lang w:val="fr-FR"/>
        </w:rPr>
        <w:t>s</w:t>
      </w:r>
      <w:r w:rsidRPr="008413AA">
        <w:rPr>
          <w:sz w:val="16"/>
          <w:szCs w:val="16"/>
          <w:lang w:val="fr-FR"/>
        </w:rPr>
        <w:t xml:space="preserve"> placement</w:t>
      </w:r>
      <w:r w:rsidR="004F511D" w:rsidRPr="008413AA">
        <w:rPr>
          <w:sz w:val="16"/>
          <w:szCs w:val="16"/>
          <w:lang w:val="fr-FR"/>
        </w:rPr>
        <w:t>s</w:t>
      </w:r>
      <w:r w:rsidRPr="008413AA">
        <w:rPr>
          <w:sz w:val="16"/>
          <w:szCs w:val="16"/>
          <w:lang w:val="fr-FR"/>
        </w:rPr>
        <w:t xml:space="preserve"> </w:t>
      </w:r>
      <w:r w:rsidR="00416156" w:rsidRPr="008413AA">
        <w:rPr>
          <w:sz w:val="16"/>
          <w:szCs w:val="16"/>
          <w:lang w:val="fr-FR"/>
        </w:rPr>
        <w:t>de trésorerie</w:t>
      </w:r>
      <w:r w:rsidR="00EA4208" w:rsidRPr="008413AA">
        <w:rPr>
          <w:sz w:val="16"/>
          <w:szCs w:val="16"/>
          <w:lang w:val="fr-FR"/>
        </w:rPr>
        <w:t>,</w:t>
      </w:r>
      <w:r w:rsidR="00416156" w:rsidRPr="008413AA">
        <w:rPr>
          <w:sz w:val="16"/>
          <w:szCs w:val="16"/>
          <w:lang w:val="fr-FR"/>
        </w:rPr>
        <w:t xml:space="preserve"> tels que des parts d’OPCVM Monétaires Euros, des comptes à terme, des certificats de dépôt négociables </w:t>
      </w:r>
      <w:r w:rsidRPr="008413AA">
        <w:rPr>
          <w:sz w:val="16"/>
          <w:szCs w:val="16"/>
          <w:lang w:val="fr-FR"/>
        </w:rPr>
        <w:t>et</w:t>
      </w:r>
      <w:r w:rsidR="002A5962" w:rsidRPr="008413AA">
        <w:rPr>
          <w:sz w:val="16"/>
          <w:szCs w:val="16"/>
          <w:lang w:val="fr-FR"/>
        </w:rPr>
        <w:t>, à h</w:t>
      </w:r>
      <w:r w:rsidR="00C727A1" w:rsidRPr="008413AA">
        <w:rPr>
          <w:sz w:val="16"/>
          <w:szCs w:val="16"/>
          <w:lang w:val="fr-FR"/>
        </w:rPr>
        <w:t>auteur d’un maximum de 20%,</w:t>
      </w:r>
      <w:r w:rsidRPr="008413AA">
        <w:rPr>
          <w:sz w:val="16"/>
          <w:szCs w:val="16"/>
          <w:lang w:val="fr-FR"/>
        </w:rPr>
        <w:t xml:space="preserve"> </w:t>
      </w:r>
      <w:r w:rsidR="004F511D" w:rsidRPr="008413AA">
        <w:rPr>
          <w:sz w:val="16"/>
          <w:szCs w:val="16"/>
          <w:lang w:val="fr-FR"/>
        </w:rPr>
        <w:t xml:space="preserve">dans des organismes </w:t>
      </w:r>
      <w:r w:rsidR="00D2141D">
        <w:rPr>
          <w:sz w:val="16"/>
          <w:szCs w:val="16"/>
          <w:lang w:val="fr-FR"/>
        </w:rPr>
        <w:t>de placements collectif en valeurs mobilières obligataires.</w:t>
      </w:r>
    </w:p>
    <w:p w:rsidR="008413AA" w:rsidRDefault="008413AA" w:rsidP="00E3583D">
      <w:pPr>
        <w:keepNext w:val="0"/>
        <w:keepLines w:val="0"/>
        <w:widowControl w:val="0"/>
        <w:spacing w:after="120"/>
        <w:rPr>
          <w:sz w:val="16"/>
          <w:szCs w:val="16"/>
          <w:lang w:val="fr-FR"/>
        </w:rPr>
      </w:pPr>
    </w:p>
    <w:p w:rsidR="00DC38D5" w:rsidRDefault="00E30F5F" w:rsidP="00E3583D">
      <w:pPr>
        <w:keepNext w:val="0"/>
        <w:keepLines w:val="0"/>
        <w:widowControl w:val="0"/>
        <w:spacing w:after="120"/>
        <w:rPr>
          <w:sz w:val="16"/>
          <w:szCs w:val="16"/>
          <w:lang w:val="fr-FR"/>
        </w:rPr>
      </w:pPr>
      <w:r w:rsidRPr="00795F34">
        <w:rPr>
          <w:b/>
          <w:sz w:val="16"/>
          <w:szCs w:val="16"/>
          <w:lang w:val="fr-FR"/>
        </w:rPr>
        <w:t>Durée de vie et de blocage :</w:t>
      </w:r>
    </w:p>
    <w:p w:rsidR="008413AA" w:rsidRDefault="001A4031" w:rsidP="00E3583D">
      <w:pPr>
        <w:keepNext w:val="0"/>
        <w:keepLines w:val="0"/>
        <w:widowControl w:val="0"/>
        <w:spacing w:after="120"/>
        <w:rPr>
          <w:sz w:val="16"/>
          <w:szCs w:val="16"/>
          <w:lang w:val="fr-FR"/>
        </w:rPr>
      </w:pPr>
      <w:r w:rsidRPr="00892D9B">
        <w:rPr>
          <w:sz w:val="16"/>
          <w:szCs w:val="16"/>
          <w:lang w:val="fr-FR"/>
        </w:rPr>
        <w:t>Le Fonds a une durée de vie de huit années</w:t>
      </w:r>
      <w:r w:rsidR="00C46507" w:rsidRPr="00892D9B">
        <w:rPr>
          <w:sz w:val="16"/>
          <w:szCs w:val="16"/>
          <w:lang w:val="fr-FR"/>
        </w:rPr>
        <w:t xml:space="preserve"> à compter de sa constitution</w:t>
      </w:r>
      <w:r w:rsidRPr="00892D9B">
        <w:rPr>
          <w:sz w:val="16"/>
          <w:szCs w:val="16"/>
          <w:lang w:val="fr-FR"/>
        </w:rPr>
        <w:t>, prorogeable 2 fois une année par décision de la société de gestion</w:t>
      </w:r>
      <w:r w:rsidR="00B9009E">
        <w:rPr>
          <w:sz w:val="16"/>
          <w:szCs w:val="16"/>
          <w:lang w:val="fr-FR"/>
        </w:rPr>
        <w:t>,</w:t>
      </w:r>
      <w:r w:rsidRPr="00892D9B">
        <w:rPr>
          <w:sz w:val="16"/>
          <w:szCs w:val="16"/>
          <w:lang w:val="fr-FR"/>
        </w:rPr>
        <w:t xml:space="preserve"> pendant lesquelles les </w:t>
      </w:r>
      <w:r w:rsidR="009E6327">
        <w:rPr>
          <w:sz w:val="16"/>
          <w:szCs w:val="16"/>
          <w:lang w:val="fr-FR"/>
        </w:rPr>
        <w:t xml:space="preserve">porteurs de parts ne peuvent pas demander le </w:t>
      </w:r>
      <w:r w:rsidRPr="00892D9B">
        <w:rPr>
          <w:sz w:val="16"/>
          <w:szCs w:val="16"/>
          <w:lang w:val="fr-FR"/>
        </w:rPr>
        <w:t xml:space="preserve">rachat </w:t>
      </w:r>
      <w:r w:rsidR="009E6327" w:rsidRPr="009E6327">
        <w:rPr>
          <w:sz w:val="16"/>
          <w:szCs w:val="16"/>
          <w:lang w:val="fr-FR"/>
        </w:rPr>
        <w:t>de leurs parts</w:t>
      </w:r>
      <w:r w:rsidR="00E30F5F">
        <w:rPr>
          <w:sz w:val="16"/>
          <w:szCs w:val="16"/>
          <w:lang w:val="fr-FR"/>
        </w:rPr>
        <w:t xml:space="preserve"> (sauf cas prévus par le Règlement)</w:t>
      </w:r>
      <w:r w:rsidRPr="00892D9B">
        <w:rPr>
          <w:sz w:val="16"/>
          <w:szCs w:val="16"/>
          <w:lang w:val="fr-FR"/>
        </w:rPr>
        <w:t>.</w:t>
      </w:r>
    </w:p>
    <w:p w:rsidR="008413AA" w:rsidRDefault="001A4031" w:rsidP="00E3583D">
      <w:pPr>
        <w:keepNext w:val="0"/>
        <w:keepLines w:val="0"/>
        <w:widowControl w:val="0"/>
        <w:spacing w:after="120"/>
        <w:rPr>
          <w:color w:val="000000"/>
          <w:sz w:val="16"/>
          <w:szCs w:val="16"/>
          <w:lang w:val="fr-FR"/>
        </w:rPr>
      </w:pPr>
      <w:r w:rsidRPr="00892D9B">
        <w:rPr>
          <w:sz w:val="16"/>
          <w:szCs w:val="16"/>
          <w:lang w:val="fr-FR"/>
        </w:rPr>
        <w:t xml:space="preserve">La phase d’investissement durera, en principe, </w:t>
      </w:r>
      <w:r w:rsidR="00C46507" w:rsidRPr="00892D9B">
        <w:rPr>
          <w:sz w:val="16"/>
          <w:szCs w:val="16"/>
          <w:lang w:val="fr-FR"/>
        </w:rPr>
        <w:t>deux années</w:t>
      </w:r>
      <w:r w:rsidR="009417EB" w:rsidRPr="00892D9B">
        <w:rPr>
          <w:sz w:val="16"/>
          <w:szCs w:val="16"/>
          <w:lang w:val="fr-FR"/>
        </w:rPr>
        <w:t xml:space="preserve"> à compter de</w:t>
      </w:r>
      <w:r w:rsidR="00C46507" w:rsidRPr="00892D9B">
        <w:rPr>
          <w:sz w:val="16"/>
          <w:szCs w:val="16"/>
          <w:lang w:val="fr-FR"/>
        </w:rPr>
        <w:t xml:space="preserve"> </w:t>
      </w:r>
      <w:r w:rsidRPr="00892D9B">
        <w:rPr>
          <w:sz w:val="16"/>
          <w:szCs w:val="16"/>
          <w:lang w:val="fr-FR"/>
        </w:rPr>
        <w:t xml:space="preserve">la </w:t>
      </w:r>
      <w:r w:rsidR="00C46507" w:rsidRPr="00892D9B">
        <w:rPr>
          <w:sz w:val="16"/>
          <w:szCs w:val="16"/>
          <w:lang w:val="fr-FR"/>
        </w:rPr>
        <w:t xml:space="preserve">constitution </w:t>
      </w:r>
      <w:r w:rsidRPr="00892D9B">
        <w:rPr>
          <w:sz w:val="16"/>
          <w:szCs w:val="16"/>
          <w:lang w:val="fr-FR"/>
        </w:rPr>
        <w:t xml:space="preserve">du Fonds </w:t>
      </w:r>
      <w:r w:rsidR="009417EB" w:rsidRPr="00892D9B">
        <w:rPr>
          <w:sz w:val="16"/>
          <w:szCs w:val="16"/>
          <w:lang w:val="fr-FR"/>
        </w:rPr>
        <w:t xml:space="preserve">soit </w:t>
      </w:r>
      <w:r w:rsidRPr="00892D9B">
        <w:rPr>
          <w:sz w:val="16"/>
          <w:szCs w:val="16"/>
          <w:lang w:val="fr-FR"/>
        </w:rPr>
        <w:t>jusqu’</w:t>
      </w:r>
      <w:r w:rsidR="009417EB" w:rsidRPr="00892D9B">
        <w:rPr>
          <w:sz w:val="16"/>
          <w:szCs w:val="16"/>
          <w:lang w:val="fr-FR"/>
        </w:rPr>
        <w:t>au</w:t>
      </w:r>
      <w:r w:rsidRPr="00892D9B">
        <w:rPr>
          <w:sz w:val="16"/>
          <w:szCs w:val="16"/>
          <w:lang w:val="fr-FR"/>
        </w:rPr>
        <w:t xml:space="preserve"> </w:t>
      </w:r>
      <w:r w:rsidR="009417EB" w:rsidRPr="00892D9B">
        <w:rPr>
          <w:sz w:val="16"/>
          <w:szCs w:val="16"/>
          <w:lang w:val="fr-FR"/>
        </w:rPr>
        <w:t xml:space="preserve">28 septembre </w:t>
      </w:r>
      <w:r w:rsidRPr="00892D9B">
        <w:rPr>
          <w:sz w:val="16"/>
          <w:szCs w:val="16"/>
          <w:lang w:val="fr-FR"/>
        </w:rPr>
        <w:t>2013. La phase de désinvestissement commencera, en principe, à compter du 1</w:t>
      </w:r>
      <w:r w:rsidRPr="00892D9B">
        <w:rPr>
          <w:sz w:val="16"/>
          <w:szCs w:val="16"/>
          <w:vertAlign w:val="superscript"/>
          <w:lang w:val="fr-FR"/>
        </w:rPr>
        <w:t>er</w:t>
      </w:r>
      <w:r w:rsidRPr="00892D9B">
        <w:rPr>
          <w:sz w:val="16"/>
          <w:szCs w:val="16"/>
          <w:lang w:val="fr-FR"/>
        </w:rPr>
        <w:t xml:space="preserve"> </w:t>
      </w:r>
      <w:r w:rsidR="009417EB" w:rsidRPr="00892D9B">
        <w:rPr>
          <w:sz w:val="16"/>
          <w:szCs w:val="16"/>
          <w:lang w:val="fr-FR"/>
        </w:rPr>
        <w:t xml:space="preserve">octobre </w:t>
      </w:r>
      <w:r w:rsidRPr="00892D9B">
        <w:rPr>
          <w:sz w:val="16"/>
          <w:szCs w:val="16"/>
          <w:lang w:val="fr-FR"/>
        </w:rPr>
        <w:t xml:space="preserve">2016. </w:t>
      </w:r>
    </w:p>
    <w:p w:rsidR="0039137F" w:rsidRDefault="00416156" w:rsidP="00E3583D">
      <w:pPr>
        <w:keepNext w:val="0"/>
        <w:keepLines w:val="0"/>
        <w:widowControl w:val="0"/>
        <w:spacing w:after="120"/>
        <w:rPr>
          <w:sz w:val="16"/>
          <w:szCs w:val="16"/>
          <w:lang w:val="fr-FR"/>
        </w:rPr>
      </w:pPr>
      <w:r>
        <w:rPr>
          <w:color w:val="000000"/>
          <w:sz w:val="16"/>
          <w:szCs w:val="16"/>
          <w:lang w:val="fr-FR"/>
        </w:rPr>
        <w:t>L</w:t>
      </w:r>
      <w:r w:rsidRPr="00892D9B">
        <w:rPr>
          <w:color w:val="000000"/>
          <w:sz w:val="16"/>
          <w:szCs w:val="16"/>
          <w:lang w:val="fr-FR"/>
        </w:rPr>
        <w:t>es sommes investies dans le Fonds sont bloquées pendant une durée minimale de 8 ans</w:t>
      </w:r>
      <w:r>
        <w:rPr>
          <w:color w:val="000000"/>
          <w:sz w:val="16"/>
          <w:szCs w:val="16"/>
          <w:lang w:val="fr-FR"/>
        </w:rPr>
        <w:t>.</w:t>
      </w:r>
      <w:r w:rsidRPr="00892D9B">
        <w:rPr>
          <w:color w:val="000000"/>
          <w:sz w:val="16"/>
          <w:szCs w:val="16"/>
          <w:lang w:val="fr-FR"/>
        </w:rPr>
        <w:t xml:space="preserve"> </w:t>
      </w:r>
      <w:r w:rsidR="001A4031" w:rsidRPr="00892D9B">
        <w:rPr>
          <w:sz w:val="16"/>
          <w:szCs w:val="16"/>
          <w:lang w:val="fr-FR"/>
        </w:rPr>
        <w:t xml:space="preserve">En tout état de cause, le processus de liquidation du portefeuille s’achèvera au plus tard le </w:t>
      </w:r>
      <w:r w:rsidR="00BE17A9" w:rsidRPr="00892D9B">
        <w:rPr>
          <w:sz w:val="16"/>
          <w:szCs w:val="16"/>
          <w:lang w:val="fr-FR"/>
        </w:rPr>
        <w:t>31 mai</w:t>
      </w:r>
      <w:r w:rsidR="001A4031" w:rsidRPr="00892D9B">
        <w:rPr>
          <w:sz w:val="16"/>
          <w:szCs w:val="16"/>
          <w:lang w:val="fr-FR"/>
        </w:rPr>
        <w:t xml:space="preserve"> 2021 et les souscripteurs seront intégralement remboursés à cette date.</w:t>
      </w:r>
    </w:p>
    <w:p w:rsidR="001A4031" w:rsidRDefault="001A4031" w:rsidP="00E3583D">
      <w:pPr>
        <w:keepNext w:val="0"/>
        <w:keepLines w:val="0"/>
        <w:widowControl w:val="0"/>
        <w:spacing w:after="120"/>
        <w:rPr>
          <w:sz w:val="16"/>
          <w:szCs w:val="16"/>
          <w:lang w:val="fr-FR"/>
        </w:rPr>
      </w:pPr>
    </w:p>
    <w:p w:rsidR="00DC38D5" w:rsidRDefault="00795F34" w:rsidP="00E30F5F">
      <w:pPr>
        <w:keepNext w:val="0"/>
        <w:keepLines w:val="0"/>
        <w:widowControl w:val="0"/>
        <w:spacing w:after="120"/>
        <w:rPr>
          <w:rStyle w:val="Lienhypertexte"/>
          <w:color w:val="auto"/>
          <w:sz w:val="16"/>
          <w:szCs w:val="16"/>
          <w:u w:val="none"/>
          <w:lang w:val="fr-FR"/>
        </w:rPr>
      </w:pPr>
      <w:r w:rsidRPr="00795F34">
        <w:rPr>
          <w:rStyle w:val="Lienhypertexte"/>
          <w:b/>
          <w:color w:val="auto"/>
          <w:sz w:val="16"/>
          <w:szCs w:val="16"/>
          <w:u w:val="none"/>
          <w:lang w:val="fr-FR"/>
        </w:rPr>
        <w:t>P</w:t>
      </w:r>
      <w:r w:rsidR="00E30F5F" w:rsidRPr="00795F34">
        <w:rPr>
          <w:rStyle w:val="Lienhypertexte"/>
          <w:b/>
          <w:color w:val="auto"/>
          <w:sz w:val="16"/>
          <w:szCs w:val="16"/>
          <w:u w:val="none"/>
          <w:lang w:val="fr-FR"/>
        </w:rPr>
        <w:t>rinci</w:t>
      </w:r>
      <w:r w:rsidRPr="00795F34">
        <w:rPr>
          <w:rStyle w:val="Lienhypertexte"/>
          <w:b/>
          <w:color w:val="auto"/>
          <w:sz w:val="16"/>
          <w:szCs w:val="16"/>
          <w:u w:val="none"/>
          <w:lang w:val="fr-FR"/>
        </w:rPr>
        <w:t>pales catégorie d’instruments financiers dans lequel le Fonds peut investir :</w:t>
      </w:r>
    </w:p>
    <w:p w:rsidR="00E30F5F" w:rsidRDefault="00E30F5F" w:rsidP="00E30F5F">
      <w:pPr>
        <w:keepNext w:val="0"/>
        <w:keepLines w:val="0"/>
        <w:widowControl w:val="0"/>
        <w:spacing w:after="120"/>
        <w:rPr>
          <w:color w:val="000000"/>
          <w:sz w:val="16"/>
          <w:szCs w:val="16"/>
          <w:lang w:val="fr-FR"/>
        </w:rPr>
      </w:pPr>
      <w:r w:rsidRPr="00B9009E">
        <w:rPr>
          <w:rStyle w:val="Lienhypertexte"/>
          <w:color w:val="auto"/>
          <w:sz w:val="16"/>
          <w:szCs w:val="16"/>
          <w:u w:val="none"/>
          <w:lang w:val="fr-FR"/>
        </w:rPr>
        <w:t xml:space="preserve">Le Fonds peut investir en titres participatifs ou en titres de capital de sociétés, ou donnant accès au capital de sociétés : parts de SARL, </w:t>
      </w:r>
      <w:r w:rsidRPr="00B9009E">
        <w:rPr>
          <w:color w:val="000000"/>
          <w:sz w:val="16"/>
          <w:szCs w:val="16"/>
          <w:lang w:val="fr-FR"/>
        </w:rPr>
        <w:t>actions, obligations remboursables ou convertibles en actions, bons de souscription d’actions et toutes valeurs mobilières donnant accès, directement ou indirectement, au capital de sociétés. Toutefois, le Fonds investira à hauteur d’au moins 40 % de son actif en titres reçus en contrepartie de souscription au capital ou de titres reçus en contrepartie d’obligations converties.</w:t>
      </w:r>
    </w:p>
    <w:p w:rsidR="0039137F" w:rsidRPr="00B9009E" w:rsidRDefault="0039137F" w:rsidP="00E30F5F">
      <w:pPr>
        <w:keepNext w:val="0"/>
        <w:keepLines w:val="0"/>
        <w:widowControl w:val="0"/>
        <w:spacing w:after="120"/>
        <w:rPr>
          <w:sz w:val="16"/>
          <w:szCs w:val="16"/>
          <w:lang w:val="fr-FR"/>
        </w:rPr>
      </w:pPr>
    </w:p>
    <w:p w:rsidR="00DC38D5" w:rsidRDefault="00E30F5F" w:rsidP="00450DE3">
      <w:pPr>
        <w:keepNext w:val="0"/>
        <w:keepLines w:val="0"/>
        <w:widowControl w:val="0"/>
        <w:spacing w:after="120"/>
        <w:rPr>
          <w:color w:val="000000"/>
          <w:sz w:val="16"/>
          <w:szCs w:val="16"/>
          <w:lang w:val="fr-FR"/>
        </w:rPr>
      </w:pPr>
      <w:r w:rsidRPr="00E30F5F" w:rsidDel="00B9009E">
        <w:rPr>
          <w:b/>
          <w:color w:val="000000"/>
          <w:sz w:val="16"/>
          <w:szCs w:val="16"/>
          <w:lang w:val="fr-FR"/>
        </w:rPr>
        <w:t>Affectation des résultats :</w:t>
      </w:r>
    </w:p>
    <w:p w:rsidR="00E30F5F" w:rsidRDefault="00E30F5F" w:rsidP="00E30F5F">
      <w:pPr>
        <w:keepNext w:val="0"/>
        <w:keepLines w:val="0"/>
        <w:widowControl w:val="0"/>
        <w:rPr>
          <w:sz w:val="16"/>
          <w:szCs w:val="16"/>
          <w:lang w:val="fr-FR"/>
        </w:rPr>
      </w:pPr>
      <w:r w:rsidRPr="00892D9B" w:rsidDel="00B9009E">
        <w:rPr>
          <w:sz w:val="16"/>
          <w:szCs w:val="16"/>
          <w:lang w:val="fr-FR"/>
        </w:rPr>
        <w:t>Compte tenu de l’engagement de conservation des parts A pris par les porteurs de parts personnes physiques et de leur obligation de réinvestissement dans le Fonds, les sommes distribuables sont intégralement capitalisées pendant un délai expirant le 31 décembre de la cinquième année suivant (i) la date de constitution du Fonds (ii) ou, si cette date est postérieure, la date de la dernière souscription de parts A intervenue, à l'exception de celles qui pourraient faire l'objet d'une distribution obligatoire en vertu de la loi. Après ce délai, la Société de Gestion décidera chaque année de l’affectation des résultats. Elle pourra procéder à la distribution d’un ou plusieurs acomptes.</w:t>
      </w:r>
    </w:p>
    <w:p w:rsidR="00E30F5F" w:rsidRPr="00416156" w:rsidRDefault="00E30F5F" w:rsidP="00E3583D">
      <w:pPr>
        <w:keepNext w:val="0"/>
        <w:keepLines w:val="0"/>
        <w:widowControl w:val="0"/>
        <w:spacing w:after="120"/>
        <w:rPr>
          <w:sz w:val="16"/>
          <w:szCs w:val="16"/>
          <w:lang w:val="fr-FR"/>
        </w:rPr>
      </w:pPr>
    </w:p>
    <w:p w:rsidR="00011083" w:rsidRPr="00892D9B" w:rsidRDefault="00011083" w:rsidP="002B09E9">
      <w:pPr>
        <w:keepNext w:val="0"/>
        <w:keepLines w:val="0"/>
        <w:widowControl w:val="0"/>
        <w:rPr>
          <w:rStyle w:val="Lienhypertexte"/>
          <w:color w:val="auto"/>
          <w:sz w:val="16"/>
          <w:szCs w:val="16"/>
          <w:u w:val="none"/>
          <w:lang w:val="fr-FR"/>
        </w:rPr>
      </w:pPr>
    </w:p>
    <w:p w:rsidR="008413AA" w:rsidRDefault="008413AA" w:rsidP="00FD1B26">
      <w:pPr>
        <w:keepNext w:val="0"/>
        <w:keepLines w:val="0"/>
        <w:widowControl w:val="0"/>
        <w:rPr>
          <w:b/>
          <w:i/>
          <w:color w:val="000000"/>
          <w:sz w:val="16"/>
          <w:szCs w:val="16"/>
          <w:lang w:val="fr-FR"/>
        </w:rPr>
        <w:sectPr w:rsidR="008413AA" w:rsidSect="00117FC1">
          <w:footerReference w:type="default" r:id="rId9"/>
          <w:pgSz w:w="11906" w:h="16838" w:code="9"/>
          <w:pgMar w:top="1418" w:right="1134" w:bottom="1418" w:left="1134" w:header="1418" w:footer="397" w:gutter="0"/>
          <w:cols w:space="708"/>
          <w:titlePg/>
          <w:docGrid w:linePitch="360"/>
        </w:sectPr>
      </w:pPr>
    </w:p>
    <w:p w:rsidR="00011083" w:rsidRPr="00EA4208" w:rsidRDefault="00EA4208" w:rsidP="00450DE3">
      <w:pPr>
        <w:keepNext w:val="0"/>
        <w:keepLines w:val="0"/>
        <w:widowControl w:val="0"/>
        <w:spacing w:after="120"/>
        <w:rPr>
          <w:b/>
          <w:i/>
          <w:color w:val="000000"/>
          <w:szCs w:val="20"/>
          <w:lang w:val="fr-FR"/>
        </w:rPr>
      </w:pPr>
      <w:r w:rsidRPr="00EA4208">
        <w:rPr>
          <w:b/>
          <w:i/>
          <w:color w:val="000000"/>
          <w:szCs w:val="20"/>
          <w:lang w:val="fr-FR"/>
        </w:rPr>
        <w:lastRenderedPageBreak/>
        <w:t>2</w:t>
      </w:r>
      <w:r w:rsidR="009E4199" w:rsidRPr="00EA4208">
        <w:rPr>
          <w:b/>
          <w:i/>
          <w:color w:val="000000"/>
          <w:szCs w:val="20"/>
          <w:lang w:val="fr-FR"/>
        </w:rPr>
        <w:t>° - Profil de risque et de rendement :</w:t>
      </w:r>
    </w:p>
    <w:p w:rsidR="00D2141D" w:rsidRDefault="009E4199" w:rsidP="00450DE3">
      <w:pPr>
        <w:keepNext w:val="0"/>
        <w:keepLines w:val="0"/>
        <w:widowControl w:val="0"/>
        <w:tabs>
          <w:tab w:val="right" w:pos="9639"/>
        </w:tabs>
        <w:rPr>
          <w:color w:val="000000"/>
          <w:sz w:val="16"/>
          <w:szCs w:val="16"/>
          <w:lang w:val="fr-FR"/>
        </w:rPr>
      </w:pPr>
      <w:r w:rsidRPr="009E4199">
        <w:rPr>
          <w:color w:val="000000"/>
          <w:sz w:val="16"/>
          <w:szCs w:val="16"/>
          <w:lang w:val="fr-FR"/>
        </w:rPr>
        <w:t>A risque plus faible,</w:t>
      </w:r>
      <w:r w:rsidRPr="009E4199">
        <w:rPr>
          <w:color w:val="000000"/>
          <w:sz w:val="16"/>
          <w:szCs w:val="16"/>
          <w:lang w:val="fr-FR"/>
        </w:rPr>
        <w:tab/>
        <w:t>A risque plus élevé,</w:t>
      </w:r>
    </w:p>
    <w:p w:rsidR="00D2141D" w:rsidRDefault="00922D5C" w:rsidP="00450DE3">
      <w:pPr>
        <w:keepNext w:val="0"/>
        <w:keepLines w:val="0"/>
        <w:widowControl w:val="0"/>
        <w:tabs>
          <w:tab w:val="right" w:pos="9639"/>
        </w:tabs>
        <w:rPr>
          <w:color w:val="000000"/>
          <w:sz w:val="16"/>
          <w:szCs w:val="16"/>
          <w:lang w:val="fr-FR"/>
        </w:rPr>
      </w:pPr>
      <w:r>
        <w:rPr>
          <w:noProof/>
          <w:color w:val="000000"/>
          <w:sz w:val="16"/>
          <w:szCs w:val="16"/>
          <w:lang w:val="fr-FR" w:eastAsia="fr-FR" w:bidi="ar-SA"/>
        </w:rPr>
        <w:pict>
          <v:shapetype id="_x0000_t32" coordsize="21600,21600" o:spt="32" o:oned="t" path="m,l21600,21600e" filled="f">
            <v:path arrowok="t" fillok="f" o:connecttype="none"/>
            <o:lock v:ext="edit" shapetype="t"/>
          </v:shapetype>
          <v:shape id="_x0000_s1027" type="#_x0000_t32" style="position:absolute;left:0;text-align:left;margin-left:-.5pt;margin-top:3.55pt;width:487.85pt;height:.05pt;z-index:251661312" o:connectortype="straight" strokecolor="black [3041]" strokeweight="3pt">
            <v:stroke startarrow="block" endarrow="block"/>
            <v:shadow type="perspective" color="#003f00 [1605]" opacity=".5" offset="1pt" offset2="-1pt"/>
          </v:shape>
        </w:pict>
      </w:r>
      <w:r>
        <w:rPr>
          <w:noProof/>
          <w:color w:val="000000"/>
          <w:sz w:val="16"/>
          <w:szCs w:val="16"/>
          <w:lang w:val="fr-FR" w:eastAsia="fr-FR" w:bidi="ar-SA"/>
        </w:rPr>
        <w:pict>
          <v:shape id="_x0000_s1026" type="#_x0000_t32" style="position:absolute;left:0;text-align:left;margin-left:-.5pt;margin-top:7.75pt;width:0;height:0;z-index:251660288" o:connectortype="straight">
            <v:stroke startarrow="block" endarrow="block"/>
          </v:shape>
        </w:pict>
      </w:r>
    </w:p>
    <w:p w:rsidR="00D2141D" w:rsidRDefault="009E4199" w:rsidP="00450DE3">
      <w:pPr>
        <w:keepNext w:val="0"/>
        <w:keepLines w:val="0"/>
        <w:widowControl w:val="0"/>
        <w:tabs>
          <w:tab w:val="right" w:pos="9639"/>
        </w:tabs>
        <w:rPr>
          <w:color w:val="000000"/>
          <w:sz w:val="16"/>
          <w:szCs w:val="16"/>
          <w:lang w:val="fr-FR"/>
        </w:rPr>
      </w:pPr>
      <w:proofErr w:type="gramStart"/>
      <w:r w:rsidRPr="009E4199">
        <w:rPr>
          <w:color w:val="000000"/>
          <w:sz w:val="16"/>
          <w:szCs w:val="16"/>
          <w:lang w:val="fr-FR"/>
        </w:rPr>
        <w:t>rendement</w:t>
      </w:r>
      <w:proofErr w:type="gramEnd"/>
      <w:r w:rsidRPr="009E4199">
        <w:rPr>
          <w:color w:val="000000"/>
          <w:sz w:val="16"/>
          <w:szCs w:val="16"/>
          <w:lang w:val="fr-FR"/>
        </w:rPr>
        <w:t xml:space="preserve"> potentiellement plus faible</w:t>
      </w:r>
      <w:r w:rsidRPr="009E4199">
        <w:rPr>
          <w:color w:val="000000"/>
          <w:sz w:val="16"/>
          <w:szCs w:val="16"/>
          <w:lang w:val="fr-FR"/>
        </w:rPr>
        <w:tab/>
        <w:t>rendement potentiellement plus élevé</w:t>
      </w:r>
    </w:p>
    <w:p w:rsidR="00D2141D" w:rsidRDefault="00D2141D">
      <w:pPr>
        <w:keepNext w:val="0"/>
        <w:keepLines w:val="0"/>
        <w:widowControl w:val="0"/>
        <w:rPr>
          <w:color w:val="000000"/>
          <w:sz w:val="16"/>
          <w:szCs w:val="16"/>
          <w:lang w:val="fr-FR"/>
        </w:rPr>
      </w:pPr>
    </w:p>
    <w:tbl>
      <w:tblPr>
        <w:tblStyle w:val="Grilledutableau"/>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1407"/>
        <w:gridCol w:w="1407"/>
        <w:gridCol w:w="1408"/>
        <w:gridCol w:w="1408"/>
        <w:gridCol w:w="1408"/>
        <w:gridCol w:w="1408"/>
        <w:gridCol w:w="1408"/>
      </w:tblGrid>
      <w:tr w:rsidR="00011083" w:rsidRPr="00892D9B" w:rsidTr="00216ADF">
        <w:tc>
          <w:tcPr>
            <w:tcW w:w="1515" w:type="dxa"/>
          </w:tcPr>
          <w:p w:rsidR="00D2141D" w:rsidRDefault="009E4199">
            <w:pPr>
              <w:keepNext w:val="0"/>
              <w:keepLines w:val="0"/>
              <w:widowControl w:val="0"/>
              <w:jc w:val="center"/>
              <w:rPr>
                <w:color w:val="000000"/>
                <w:sz w:val="16"/>
                <w:szCs w:val="16"/>
                <w:lang w:val="fr-FR"/>
              </w:rPr>
            </w:pPr>
            <w:r w:rsidRPr="009E4199">
              <w:rPr>
                <w:color w:val="000000"/>
                <w:sz w:val="16"/>
                <w:szCs w:val="16"/>
                <w:lang w:val="fr-FR"/>
              </w:rPr>
              <w:t>1</w:t>
            </w:r>
          </w:p>
        </w:tc>
        <w:tc>
          <w:tcPr>
            <w:tcW w:w="1515" w:type="dxa"/>
          </w:tcPr>
          <w:p w:rsidR="00D2141D" w:rsidRDefault="009E4199">
            <w:pPr>
              <w:keepNext w:val="0"/>
              <w:keepLines w:val="0"/>
              <w:widowControl w:val="0"/>
              <w:jc w:val="center"/>
              <w:rPr>
                <w:color w:val="000000"/>
                <w:sz w:val="16"/>
                <w:szCs w:val="16"/>
                <w:lang w:val="fr-FR"/>
              </w:rPr>
            </w:pPr>
            <w:r w:rsidRPr="009E4199">
              <w:rPr>
                <w:color w:val="000000"/>
                <w:sz w:val="16"/>
                <w:szCs w:val="16"/>
                <w:lang w:val="fr-FR"/>
              </w:rPr>
              <w:t>2</w:t>
            </w:r>
          </w:p>
        </w:tc>
        <w:tc>
          <w:tcPr>
            <w:tcW w:w="1515" w:type="dxa"/>
          </w:tcPr>
          <w:p w:rsidR="00D2141D" w:rsidRDefault="009E4199">
            <w:pPr>
              <w:keepNext w:val="0"/>
              <w:keepLines w:val="0"/>
              <w:widowControl w:val="0"/>
              <w:jc w:val="center"/>
              <w:rPr>
                <w:color w:val="000000"/>
                <w:sz w:val="16"/>
                <w:szCs w:val="16"/>
                <w:lang w:val="fr-FR"/>
              </w:rPr>
            </w:pPr>
            <w:r w:rsidRPr="009E4199">
              <w:rPr>
                <w:color w:val="000000"/>
                <w:sz w:val="16"/>
                <w:szCs w:val="16"/>
                <w:lang w:val="fr-FR"/>
              </w:rPr>
              <w:t>3</w:t>
            </w:r>
          </w:p>
        </w:tc>
        <w:tc>
          <w:tcPr>
            <w:tcW w:w="1515" w:type="dxa"/>
          </w:tcPr>
          <w:p w:rsidR="00D2141D" w:rsidRDefault="009E4199">
            <w:pPr>
              <w:keepNext w:val="0"/>
              <w:keepLines w:val="0"/>
              <w:widowControl w:val="0"/>
              <w:jc w:val="center"/>
              <w:rPr>
                <w:color w:val="000000"/>
                <w:sz w:val="16"/>
                <w:szCs w:val="16"/>
                <w:lang w:val="fr-FR"/>
              </w:rPr>
            </w:pPr>
            <w:r w:rsidRPr="009E4199">
              <w:rPr>
                <w:color w:val="000000"/>
                <w:sz w:val="16"/>
                <w:szCs w:val="16"/>
                <w:lang w:val="fr-FR"/>
              </w:rPr>
              <w:t>4</w:t>
            </w:r>
          </w:p>
        </w:tc>
        <w:tc>
          <w:tcPr>
            <w:tcW w:w="1515" w:type="dxa"/>
          </w:tcPr>
          <w:p w:rsidR="00D2141D" w:rsidRDefault="009E4199">
            <w:pPr>
              <w:keepNext w:val="0"/>
              <w:keepLines w:val="0"/>
              <w:widowControl w:val="0"/>
              <w:jc w:val="center"/>
              <w:rPr>
                <w:color w:val="000000"/>
                <w:sz w:val="16"/>
                <w:szCs w:val="16"/>
                <w:lang w:val="fr-FR"/>
              </w:rPr>
            </w:pPr>
            <w:r w:rsidRPr="009E4199">
              <w:rPr>
                <w:color w:val="000000"/>
                <w:sz w:val="16"/>
                <w:szCs w:val="16"/>
                <w:lang w:val="fr-FR"/>
              </w:rPr>
              <w:t>5</w:t>
            </w:r>
          </w:p>
        </w:tc>
        <w:tc>
          <w:tcPr>
            <w:tcW w:w="1515" w:type="dxa"/>
          </w:tcPr>
          <w:p w:rsidR="00D2141D" w:rsidRDefault="009E4199">
            <w:pPr>
              <w:keepNext w:val="0"/>
              <w:keepLines w:val="0"/>
              <w:widowControl w:val="0"/>
              <w:jc w:val="center"/>
              <w:rPr>
                <w:color w:val="000000"/>
                <w:sz w:val="16"/>
                <w:szCs w:val="16"/>
                <w:lang w:val="fr-FR"/>
              </w:rPr>
            </w:pPr>
            <w:r w:rsidRPr="009E4199">
              <w:rPr>
                <w:color w:val="000000"/>
                <w:sz w:val="16"/>
                <w:szCs w:val="16"/>
                <w:lang w:val="fr-FR"/>
              </w:rPr>
              <w:t>6</w:t>
            </w:r>
          </w:p>
        </w:tc>
        <w:tc>
          <w:tcPr>
            <w:tcW w:w="1516" w:type="dxa"/>
            <w:shd w:val="clear" w:color="auto" w:fill="DAE0E5" w:themeFill="text2" w:themeFillTint="33"/>
          </w:tcPr>
          <w:p w:rsidR="00D2141D" w:rsidRDefault="009E4199">
            <w:pPr>
              <w:keepNext w:val="0"/>
              <w:keepLines w:val="0"/>
              <w:widowControl w:val="0"/>
              <w:jc w:val="center"/>
              <w:rPr>
                <w:color w:val="000000"/>
                <w:sz w:val="16"/>
                <w:szCs w:val="16"/>
                <w:lang w:val="fr-FR"/>
              </w:rPr>
            </w:pPr>
            <w:r w:rsidRPr="009E4199">
              <w:rPr>
                <w:color w:val="000000"/>
                <w:sz w:val="16"/>
                <w:szCs w:val="16"/>
                <w:lang w:val="fr-FR"/>
              </w:rPr>
              <w:t>7</w:t>
            </w:r>
          </w:p>
        </w:tc>
      </w:tr>
    </w:tbl>
    <w:p w:rsidR="00011083" w:rsidRDefault="00011083" w:rsidP="00FD1B26">
      <w:pPr>
        <w:keepNext w:val="0"/>
        <w:keepLines w:val="0"/>
        <w:widowControl w:val="0"/>
        <w:rPr>
          <w:color w:val="000000"/>
          <w:sz w:val="16"/>
          <w:szCs w:val="16"/>
          <w:lang w:val="fr-FR"/>
        </w:rPr>
      </w:pPr>
    </w:p>
    <w:p w:rsidR="00DC38D5" w:rsidRDefault="009E4199" w:rsidP="00450DE3">
      <w:pPr>
        <w:keepNext w:val="0"/>
        <w:keepLines w:val="0"/>
        <w:widowControl w:val="0"/>
        <w:spacing w:after="120"/>
        <w:rPr>
          <w:color w:val="000000"/>
          <w:sz w:val="16"/>
          <w:szCs w:val="16"/>
          <w:lang w:val="fr-FR"/>
        </w:rPr>
      </w:pPr>
      <w:r w:rsidRPr="009E4199">
        <w:rPr>
          <w:color w:val="000000"/>
          <w:sz w:val="16"/>
          <w:szCs w:val="16"/>
          <w:lang w:val="fr-FR"/>
        </w:rPr>
        <w:t>La catégorie de risque associé à ce Fonds n’est pas garantie et pourra évoluer dans le temps</w:t>
      </w:r>
      <w:r w:rsidR="00221653">
        <w:rPr>
          <w:color w:val="000000"/>
          <w:sz w:val="16"/>
          <w:szCs w:val="16"/>
          <w:lang w:val="fr-FR"/>
        </w:rPr>
        <w:t>.</w:t>
      </w:r>
    </w:p>
    <w:p w:rsidR="00DC38D5" w:rsidRDefault="00221653">
      <w:pPr>
        <w:keepNext w:val="0"/>
        <w:keepLines w:val="0"/>
        <w:widowControl w:val="0"/>
        <w:rPr>
          <w:color w:val="000000"/>
          <w:sz w:val="16"/>
          <w:szCs w:val="16"/>
          <w:lang w:val="fr-FR"/>
        </w:rPr>
      </w:pPr>
      <w:r w:rsidRPr="00221653">
        <w:rPr>
          <w:color w:val="000000"/>
          <w:sz w:val="16"/>
          <w:szCs w:val="16"/>
          <w:lang w:val="fr-FR"/>
        </w:rPr>
        <w:t xml:space="preserve">Les Fonds de capital-investissement </w:t>
      </w:r>
      <w:r w:rsidR="00E9284D">
        <w:rPr>
          <w:color w:val="000000"/>
          <w:sz w:val="16"/>
          <w:szCs w:val="16"/>
          <w:lang w:val="fr-FR"/>
        </w:rPr>
        <w:t>sont considérés comme présentant</w:t>
      </w:r>
      <w:r w:rsidRPr="00221653">
        <w:rPr>
          <w:color w:val="000000"/>
          <w:sz w:val="16"/>
          <w:szCs w:val="16"/>
          <w:lang w:val="fr-FR"/>
        </w:rPr>
        <w:t xml:space="preserve"> un risque </w:t>
      </w:r>
      <w:r w:rsidR="00E9284D">
        <w:rPr>
          <w:color w:val="000000"/>
          <w:sz w:val="16"/>
          <w:szCs w:val="16"/>
          <w:lang w:val="fr-FR"/>
        </w:rPr>
        <w:t xml:space="preserve">élevé </w:t>
      </w:r>
      <w:r w:rsidRPr="00221653">
        <w:rPr>
          <w:color w:val="000000"/>
          <w:sz w:val="16"/>
          <w:szCs w:val="16"/>
          <w:lang w:val="fr-FR"/>
        </w:rPr>
        <w:t xml:space="preserve">de perte en capital, </w:t>
      </w:r>
      <w:r w:rsidR="009E4199" w:rsidRPr="00221653">
        <w:rPr>
          <w:color w:val="000000"/>
          <w:sz w:val="16"/>
          <w:szCs w:val="16"/>
          <w:lang w:val="fr-FR"/>
        </w:rPr>
        <w:t>Le Fonds ne bénéficie d’aucune garantie ni protection. Il est donc possible que le capital initialement investi ne soit pas intégralement restitué</w:t>
      </w:r>
      <w:r>
        <w:rPr>
          <w:color w:val="000000"/>
          <w:sz w:val="16"/>
          <w:szCs w:val="16"/>
          <w:lang w:val="fr-FR"/>
        </w:rPr>
        <w:t>.</w:t>
      </w:r>
    </w:p>
    <w:p w:rsidR="00D2141D" w:rsidRPr="00221653" w:rsidRDefault="00D2141D" w:rsidP="003F5CD1">
      <w:pPr>
        <w:keepNext w:val="0"/>
        <w:keepLines w:val="0"/>
        <w:widowControl w:val="0"/>
        <w:autoSpaceDE w:val="0"/>
        <w:autoSpaceDN w:val="0"/>
        <w:adjustRightInd w:val="0"/>
        <w:rPr>
          <w:color w:val="000000"/>
          <w:sz w:val="16"/>
          <w:szCs w:val="16"/>
          <w:lang w:val="fr-FR"/>
        </w:rPr>
      </w:pPr>
    </w:p>
    <w:p w:rsidR="00D2141D" w:rsidRDefault="00011083">
      <w:pPr>
        <w:keepNext w:val="0"/>
        <w:keepLines w:val="0"/>
        <w:widowControl w:val="0"/>
        <w:spacing w:after="120"/>
        <w:rPr>
          <w:color w:val="000000"/>
          <w:sz w:val="16"/>
          <w:szCs w:val="16"/>
          <w:lang w:val="fr-FR"/>
        </w:rPr>
      </w:pPr>
      <w:r w:rsidRPr="00892D9B">
        <w:rPr>
          <w:color w:val="000000"/>
          <w:sz w:val="16"/>
          <w:szCs w:val="16"/>
          <w:lang w:val="fr-FR"/>
        </w:rPr>
        <w:t>Risques importants non pris en compte dans cet indicateur :</w:t>
      </w:r>
    </w:p>
    <w:p w:rsidR="008F2B1C" w:rsidRDefault="006022FE">
      <w:pPr>
        <w:pStyle w:val="Paragraphedeliste"/>
        <w:keepNext w:val="0"/>
        <w:keepLines w:val="0"/>
        <w:widowControl w:val="0"/>
        <w:numPr>
          <w:ilvl w:val="0"/>
          <w:numId w:val="39"/>
        </w:numPr>
        <w:autoSpaceDE w:val="0"/>
        <w:autoSpaceDN w:val="0"/>
        <w:adjustRightInd w:val="0"/>
        <w:spacing w:after="120"/>
        <w:ind w:left="714" w:hanging="357"/>
        <w:contextualSpacing w:val="0"/>
        <w:rPr>
          <w:color w:val="000000"/>
          <w:sz w:val="16"/>
          <w:szCs w:val="16"/>
          <w:lang w:val="fr-FR"/>
        </w:rPr>
      </w:pPr>
      <w:r w:rsidRPr="007E3ABC">
        <w:rPr>
          <w:color w:val="000000"/>
          <w:sz w:val="16"/>
          <w:szCs w:val="16"/>
          <w:lang w:val="fr-FR"/>
        </w:rPr>
        <w:t>Risque</w:t>
      </w:r>
      <w:r>
        <w:rPr>
          <w:color w:val="000000"/>
          <w:sz w:val="16"/>
          <w:szCs w:val="16"/>
          <w:lang w:val="fr-FR"/>
        </w:rPr>
        <w:t xml:space="preserve"> de liquidité : </w:t>
      </w:r>
      <w:r w:rsidR="004931F7">
        <w:rPr>
          <w:color w:val="000000"/>
          <w:sz w:val="16"/>
          <w:szCs w:val="16"/>
          <w:lang w:val="fr-FR"/>
        </w:rPr>
        <w:t>Compte tenu de la difficulté à évaluer la valeur des titres non cotés, la valeur liquidative du Fonds est susceptible de ne pas refléter la valeur exacte des actifs du Fonds. Il est possible que le Fonds rencontre des difficultés pour vendre ses lignes.</w:t>
      </w:r>
    </w:p>
    <w:p w:rsidR="00D2141D" w:rsidRDefault="007B2AF6">
      <w:pPr>
        <w:pStyle w:val="Paragraphedeliste"/>
        <w:keepNext w:val="0"/>
        <w:keepLines w:val="0"/>
        <w:widowControl w:val="0"/>
        <w:numPr>
          <w:ilvl w:val="0"/>
          <w:numId w:val="39"/>
        </w:numPr>
        <w:autoSpaceDE w:val="0"/>
        <w:autoSpaceDN w:val="0"/>
        <w:adjustRightInd w:val="0"/>
        <w:spacing w:after="120"/>
        <w:ind w:left="714" w:hanging="357"/>
        <w:contextualSpacing w:val="0"/>
        <w:rPr>
          <w:color w:val="000000"/>
          <w:sz w:val="16"/>
          <w:szCs w:val="16"/>
          <w:lang w:val="fr-FR"/>
        </w:rPr>
      </w:pPr>
      <w:r w:rsidRPr="00892D9B">
        <w:rPr>
          <w:color w:val="000000"/>
          <w:sz w:val="16"/>
          <w:szCs w:val="16"/>
          <w:lang w:val="fr-FR"/>
        </w:rPr>
        <w:t>Risque de taux : les supports monétaires utilisés pour la gestion des actifs non compris dans le quota de 60 % peuvent connaître une variation des taux. En conséquence, en cas d’évolution défavorable des taux, la valeur liquidative du Fonds pourra être impactée négativement.</w:t>
      </w:r>
    </w:p>
    <w:p w:rsidR="00450DE3" w:rsidRPr="00450DE3" w:rsidRDefault="007B2AF6" w:rsidP="00450DE3">
      <w:pPr>
        <w:pStyle w:val="Paragraphedeliste"/>
        <w:keepNext w:val="0"/>
        <w:keepLines w:val="0"/>
        <w:widowControl w:val="0"/>
        <w:numPr>
          <w:ilvl w:val="0"/>
          <w:numId w:val="39"/>
        </w:numPr>
        <w:spacing w:after="120"/>
        <w:rPr>
          <w:color w:val="000000"/>
          <w:sz w:val="16"/>
          <w:szCs w:val="16"/>
          <w:lang w:val="fr-FR"/>
        </w:rPr>
      </w:pPr>
      <w:r w:rsidRPr="00892D9B">
        <w:rPr>
          <w:color w:val="000000"/>
          <w:sz w:val="16"/>
          <w:szCs w:val="16"/>
          <w:lang w:val="fr-FR"/>
        </w:rPr>
        <w:t>Risque crédits pour une exposition maximale de 20% : les fonds obligataires susceptibles d’être utilisés pour la gestion d’une partie des actifs non compris dans le quota de 60% peuvent subir une baisse de valeur en cas de difficulté éventuelle d’une société de faire face à ses obligations financières. En conséquence, la valeur liquidative du Fonds pourra être impactée négativement.</w:t>
      </w:r>
    </w:p>
    <w:p w:rsidR="00450DE3" w:rsidRDefault="00450DE3" w:rsidP="00450DE3">
      <w:pPr>
        <w:keepNext w:val="0"/>
        <w:keepLines w:val="0"/>
        <w:widowControl w:val="0"/>
        <w:autoSpaceDE w:val="0"/>
        <w:autoSpaceDN w:val="0"/>
        <w:adjustRightInd w:val="0"/>
        <w:spacing w:after="120"/>
        <w:rPr>
          <w:color w:val="000000"/>
          <w:sz w:val="16"/>
          <w:szCs w:val="16"/>
          <w:lang w:val="fr-FR"/>
        </w:rPr>
      </w:pPr>
      <w:r w:rsidRPr="00450DE3">
        <w:rPr>
          <w:color w:val="000000"/>
          <w:sz w:val="16"/>
          <w:szCs w:val="16"/>
          <w:lang w:val="fr-FR"/>
        </w:rPr>
        <w:t>Les facteurs de risques sont détaillés dans le Règlement du Fonds.</w:t>
      </w:r>
    </w:p>
    <w:p w:rsidR="00570A0A" w:rsidRPr="00450DE3" w:rsidRDefault="00570A0A" w:rsidP="00450DE3">
      <w:pPr>
        <w:keepNext w:val="0"/>
        <w:keepLines w:val="0"/>
        <w:widowControl w:val="0"/>
        <w:autoSpaceDE w:val="0"/>
        <w:autoSpaceDN w:val="0"/>
        <w:adjustRightInd w:val="0"/>
        <w:spacing w:after="120"/>
        <w:rPr>
          <w:color w:val="000000"/>
          <w:sz w:val="16"/>
          <w:szCs w:val="16"/>
          <w:lang w:val="fr-FR"/>
        </w:rPr>
      </w:pPr>
    </w:p>
    <w:p w:rsidR="00011083" w:rsidRPr="00892D9B" w:rsidRDefault="00EA4208" w:rsidP="00FD1B26">
      <w:pPr>
        <w:keepNext w:val="0"/>
        <w:keepLines w:val="0"/>
        <w:widowControl w:val="0"/>
        <w:spacing w:after="120"/>
        <w:rPr>
          <w:b/>
          <w:i/>
          <w:szCs w:val="20"/>
          <w:lang w:val="fr-FR"/>
        </w:rPr>
      </w:pPr>
      <w:r>
        <w:rPr>
          <w:b/>
          <w:i/>
          <w:szCs w:val="20"/>
          <w:lang w:val="fr-FR"/>
        </w:rPr>
        <w:t>3</w:t>
      </w:r>
      <w:r w:rsidR="009E4199" w:rsidRPr="009E4199">
        <w:rPr>
          <w:b/>
          <w:i/>
          <w:szCs w:val="20"/>
          <w:lang w:val="fr-FR"/>
        </w:rPr>
        <w:t>° - Frais</w:t>
      </w:r>
    </w:p>
    <w:p w:rsidR="00D2141D" w:rsidRDefault="00011083">
      <w:pPr>
        <w:keepNext w:val="0"/>
        <w:keepLines w:val="0"/>
        <w:widowControl w:val="0"/>
        <w:spacing w:after="120"/>
        <w:rPr>
          <w:rFonts w:cs="Arial"/>
          <w:sz w:val="16"/>
          <w:szCs w:val="16"/>
          <w:lang w:val="fr-FR"/>
        </w:rPr>
      </w:pPr>
      <w:r w:rsidRPr="00892D9B">
        <w:rPr>
          <w:rFonts w:cs="Arial"/>
          <w:sz w:val="16"/>
          <w:szCs w:val="16"/>
          <w:lang w:val="fr-FR"/>
        </w:rPr>
        <w:t>Les frais et commissions acquittés servent à couvrir les coûts d’exploitation du Fonds y compris les coûts de commercialisation et de distribution des parts, ces frais réduisent la croissance potentielle des investissements.</w:t>
      </w:r>
    </w:p>
    <w:p w:rsidR="00011083" w:rsidRPr="00892D9B" w:rsidRDefault="00011083" w:rsidP="004A4FCA">
      <w:pPr>
        <w:keepNext w:val="0"/>
        <w:keepLines w:val="0"/>
        <w:widowControl w:val="0"/>
        <w:spacing w:after="240"/>
        <w:rPr>
          <w:rFonts w:cs="Arial"/>
          <w:i/>
          <w:sz w:val="16"/>
          <w:szCs w:val="16"/>
          <w:u w:val="single"/>
          <w:lang w:val="fr-FR"/>
        </w:rPr>
      </w:pPr>
      <w:r w:rsidRPr="00892D9B">
        <w:rPr>
          <w:rFonts w:cs="Arial"/>
          <w:i/>
          <w:sz w:val="16"/>
          <w:szCs w:val="16"/>
          <w:u w:val="single"/>
          <w:lang w:val="fr-FR"/>
        </w:rPr>
        <w:t>Répartition des taux de frais annuels moyens (TFAM) maximum gestionnaire et distributeur par catégorie de frais :</w:t>
      </w:r>
    </w:p>
    <w:p w:rsidR="00011083" w:rsidRPr="00892D9B" w:rsidRDefault="00011083" w:rsidP="00E3583D">
      <w:pPr>
        <w:keepNext w:val="0"/>
        <w:keepLines w:val="0"/>
        <w:widowControl w:val="0"/>
        <w:spacing w:after="120"/>
        <w:rPr>
          <w:rFonts w:cs="Arial"/>
          <w:sz w:val="16"/>
          <w:szCs w:val="16"/>
          <w:lang w:val="fr-FR"/>
        </w:rPr>
      </w:pPr>
      <w:r w:rsidRPr="00892D9B">
        <w:rPr>
          <w:rFonts w:cs="Arial"/>
          <w:sz w:val="16"/>
          <w:szCs w:val="16"/>
          <w:lang w:val="fr-FR"/>
        </w:rPr>
        <w:t>Le taux de frais annuel moyen (TFAM) gestionnaire et distributeur supporté par le souscripteur est égal au ratio, calculé en moyenne annuelle, entre :</w:t>
      </w:r>
    </w:p>
    <w:p w:rsidR="00011083" w:rsidRPr="00892D9B" w:rsidRDefault="00011083" w:rsidP="00E3583D">
      <w:pPr>
        <w:pStyle w:val="Paragraphedeliste"/>
        <w:keepNext w:val="0"/>
        <w:keepLines w:val="0"/>
        <w:widowControl w:val="0"/>
        <w:numPr>
          <w:ilvl w:val="0"/>
          <w:numId w:val="39"/>
        </w:numPr>
        <w:spacing w:after="120"/>
        <w:rPr>
          <w:rFonts w:cs="Arial"/>
          <w:sz w:val="16"/>
          <w:szCs w:val="16"/>
          <w:lang w:val="fr-FR"/>
        </w:rPr>
      </w:pPr>
      <w:r w:rsidRPr="00892D9B">
        <w:rPr>
          <w:rFonts w:cs="Arial"/>
          <w:sz w:val="16"/>
          <w:szCs w:val="16"/>
          <w:lang w:val="fr-FR"/>
        </w:rPr>
        <w:t>le total des frais et commissions prélevés tout au long de la vie du fonds,</w:t>
      </w:r>
    </w:p>
    <w:p w:rsidR="001A4031" w:rsidRPr="00892D9B" w:rsidRDefault="00011083" w:rsidP="00E3583D">
      <w:pPr>
        <w:pStyle w:val="Paragraphedeliste"/>
        <w:keepNext w:val="0"/>
        <w:keepLines w:val="0"/>
        <w:widowControl w:val="0"/>
        <w:numPr>
          <w:ilvl w:val="0"/>
          <w:numId w:val="39"/>
        </w:numPr>
        <w:spacing w:after="120"/>
        <w:rPr>
          <w:rFonts w:cs="Arial"/>
          <w:sz w:val="16"/>
          <w:szCs w:val="16"/>
          <w:lang w:val="fr-FR"/>
        </w:rPr>
      </w:pPr>
      <w:r w:rsidRPr="00892D9B">
        <w:rPr>
          <w:rFonts w:cs="Arial"/>
          <w:sz w:val="16"/>
          <w:szCs w:val="16"/>
          <w:lang w:val="fr-FR"/>
        </w:rPr>
        <w:t>et le montant des souscriptions initiales totales (incluant les droits d’entrée).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11"/>
        <w:gridCol w:w="2268"/>
        <w:gridCol w:w="2268"/>
      </w:tblGrid>
      <w:tr w:rsidR="001A4031" w:rsidRPr="006D2C5A" w:rsidTr="00450DE3">
        <w:tc>
          <w:tcPr>
            <w:tcW w:w="5211" w:type="dxa"/>
            <w:vMerge w:val="restart"/>
            <w:vAlign w:val="center"/>
          </w:tcPr>
          <w:p w:rsidR="001A4031" w:rsidRPr="00892D9B" w:rsidRDefault="001A4031" w:rsidP="00864F29">
            <w:pPr>
              <w:keepNext w:val="0"/>
              <w:keepLines w:val="0"/>
              <w:widowControl w:val="0"/>
              <w:spacing w:before="60" w:after="60"/>
              <w:jc w:val="center"/>
              <w:rPr>
                <w:rFonts w:cs="Arial"/>
                <w:b/>
                <w:sz w:val="16"/>
                <w:szCs w:val="16"/>
              </w:rPr>
            </w:pPr>
            <w:r w:rsidRPr="00892D9B">
              <w:rPr>
                <w:rFonts w:cs="Arial"/>
                <w:b/>
                <w:sz w:val="16"/>
                <w:szCs w:val="16"/>
              </w:rPr>
              <w:t>CATEGORIE AGREGEE DE FRAIS</w:t>
            </w:r>
          </w:p>
        </w:tc>
        <w:tc>
          <w:tcPr>
            <w:tcW w:w="4536" w:type="dxa"/>
            <w:gridSpan w:val="2"/>
            <w:vAlign w:val="center"/>
          </w:tcPr>
          <w:p w:rsidR="001A4031" w:rsidRPr="00892D9B" w:rsidRDefault="001A4031" w:rsidP="00864F29">
            <w:pPr>
              <w:keepNext w:val="0"/>
              <w:keepLines w:val="0"/>
              <w:widowControl w:val="0"/>
              <w:spacing w:before="60" w:after="60"/>
              <w:jc w:val="center"/>
              <w:rPr>
                <w:rFonts w:cs="Arial"/>
                <w:b/>
                <w:sz w:val="16"/>
                <w:szCs w:val="16"/>
                <w:lang w:val="fr-FR"/>
              </w:rPr>
            </w:pPr>
            <w:r w:rsidRPr="00892D9B">
              <w:rPr>
                <w:rFonts w:cs="Arial"/>
                <w:b/>
                <w:sz w:val="16"/>
                <w:szCs w:val="16"/>
                <w:lang w:val="fr-FR"/>
              </w:rPr>
              <w:t>TAUX DE FRAIS ANNUELS MOYENS (TFAM) MAXIMUM</w:t>
            </w:r>
          </w:p>
        </w:tc>
      </w:tr>
      <w:tr w:rsidR="001A4031" w:rsidRPr="00892D9B" w:rsidTr="00450DE3">
        <w:tc>
          <w:tcPr>
            <w:tcW w:w="5211" w:type="dxa"/>
            <w:vMerge/>
          </w:tcPr>
          <w:p w:rsidR="001A4031" w:rsidRPr="00892D9B" w:rsidRDefault="001A4031" w:rsidP="00864F29">
            <w:pPr>
              <w:keepNext w:val="0"/>
              <w:keepLines w:val="0"/>
              <w:widowControl w:val="0"/>
              <w:spacing w:before="60" w:after="60"/>
              <w:rPr>
                <w:rFonts w:cs="Arial"/>
                <w:sz w:val="16"/>
                <w:szCs w:val="16"/>
                <w:lang w:val="fr-FR"/>
              </w:rPr>
            </w:pPr>
          </w:p>
        </w:tc>
        <w:tc>
          <w:tcPr>
            <w:tcW w:w="2268" w:type="dxa"/>
          </w:tcPr>
          <w:p w:rsidR="001A4031" w:rsidRPr="00892D9B" w:rsidRDefault="009E4199" w:rsidP="00864F29">
            <w:pPr>
              <w:keepNext w:val="0"/>
              <w:keepLines w:val="0"/>
              <w:widowControl w:val="0"/>
              <w:spacing w:before="60" w:after="60"/>
              <w:jc w:val="center"/>
              <w:rPr>
                <w:rFonts w:cs="Arial"/>
                <w:sz w:val="16"/>
                <w:szCs w:val="16"/>
                <w:lang w:val="fr-FR"/>
              </w:rPr>
            </w:pPr>
            <w:r w:rsidRPr="009E4199">
              <w:rPr>
                <w:rFonts w:cs="Arial"/>
                <w:sz w:val="16"/>
                <w:szCs w:val="16"/>
                <w:lang w:val="fr-FR"/>
              </w:rPr>
              <w:t>TFAM gestionnaire et distributeur maximum</w:t>
            </w:r>
          </w:p>
        </w:tc>
        <w:tc>
          <w:tcPr>
            <w:tcW w:w="2268" w:type="dxa"/>
          </w:tcPr>
          <w:p w:rsidR="001A4031" w:rsidRPr="00892D9B" w:rsidRDefault="009E4199" w:rsidP="00864F29">
            <w:pPr>
              <w:keepNext w:val="0"/>
              <w:keepLines w:val="0"/>
              <w:widowControl w:val="0"/>
              <w:spacing w:before="60" w:after="60"/>
              <w:jc w:val="center"/>
              <w:rPr>
                <w:rFonts w:cs="Arial"/>
                <w:sz w:val="16"/>
                <w:szCs w:val="16"/>
              </w:rPr>
            </w:pPr>
            <w:proofErr w:type="spellStart"/>
            <w:r w:rsidRPr="009E4199">
              <w:rPr>
                <w:rFonts w:cs="Arial"/>
                <w:sz w:val="16"/>
                <w:szCs w:val="16"/>
              </w:rPr>
              <w:t>Dont</w:t>
            </w:r>
            <w:proofErr w:type="spellEnd"/>
            <w:r w:rsidRPr="009E4199">
              <w:rPr>
                <w:rFonts w:cs="Arial"/>
                <w:sz w:val="16"/>
                <w:szCs w:val="16"/>
              </w:rPr>
              <w:t xml:space="preserve"> TFAM </w:t>
            </w:r>
            <w:proofErr w:type="spellStart"/>
            <w:r w:rsidRPr="009E4199">
              <w:rPr>
                <w:rFonts w:cs="Arial"/>
                <w:sz w:val="16"/>
                <w:szCs w:val="16"/>
              </w:rPr>
              <w:t>distributeur</w:t>
            </w:r>
            <w:proofErr w:type="spellEnd"/>
            <w:r w:rsidRPr="009E4199">
              <w:rPr>
                <w:rFonts w:cs="Arial"/>
                <w:sz w:val="16"/>
                <w:szCs w:val="16"/>
              </w:rPr>
              <w:t xml:space="preserve"> maximum</w:t>
            </w:r>
          </w:p>
        </w:tc>
      </w:tr>
      <w:tr w:rsidR="001A4031" w:rsidRPr="00892D9B" w:rsidTr="00450DE3">
        <w:tc>
          <w:tcPr>
            <w:tcW w:w="5211" w:type="dxa"/>
          </w:tcPr>
          <w:p w:rsidR="001A4031" w:rsidRPr="00892D9B" w:rsidRDefault="001A4031" w:rsidP="00864F29">
            <w:pPr>
              <w:keepNext w:val="0"/>
              <w:keepLines w:val="0"/>
              <w:widowControl w:val="0"/>
              <w:spacing w:before="60" w:after="60"/>
              <w:rPr>
                <w:rFonts w:cs="Arial"/>
                <w:sz w:val="16"/>
                <w:szCs w:val="16"/>
              </w:rPr>
            </w:pPr>
            <w:proofErr w:type="spellStart"/>
            <w:r w:rsidRPr="00892D9B">
              <w:rPr>
                <w:rFonts w:cs="Arial"/>
                <w:sz w:val="16"/>
                <w:szCs w:val="16"/>
              </w:rPr>
              <w:t>Droits</w:t>
            </w:r>
            <w:proofErr w:type="spellEnd"/>
            <w:r w:rsidRPr="00892D9B">
              <w:rPr>
                <w:rFonts w:cs="Arial"/>
                <w:sz w:val="16"/>
                <w:szCs w:val="16"/>
              </w:rPr>
              <w:t xml:space="preserve"> </w:t>
            </w:r>
            <w:proofErr w:type="spellStart"/>
            <w:r w:rsidRPr="00892D9B">
              <w:rPr>
                <w:rFonts w:cs="Arial"/>
                <w:sz w:val="16"/>
                <w:szCs w:val="16"/>
              </w:rPr>
              <w:t>d’entrée</w:t>
            </w:r>
            <w:proofErr w:type="spellEnd"/>
          </w:p>
        </w:tc>
        <w:tc>
          <w:tcPr>
            <w:tcW w:w="2268" w:type="dxa"/>
            <w:vAlign w:val="center"/>
          </w:tcPr>
          <w:p w:rsidR="001A4031" w:rsidRPr="00892D9B" w:rsidRDefault="001A4031" w:rsidP="00864F29">
            <w:pPr>
              <w:keepNext w:val="0"/>
              <w:keepLines w:val="0"/>
              <w:widowControl w:val="0"/>
              <w:spacing w:before="60" w:after="60"/>
              <w:jc w:val="center"/>
              <w:rPr>
                <w:rFonts w:cs="Arial"/>
                <w:sz w:val="16"/>
                <w:szCs w:val="16"/>
              </w:rPr>
            </w:pPr>
            <w:r w:rsidRPr="00892D9B">
              <w:rPr>
                <w:rFonts w:cs="Arial"/>
                <w:sz w:val="16"/>
                <w:szCs w:val="16"/>
              </w:rPr>
              <w:t>0,4808 %</w:t>
            </w:r>
          </w:p>
        </w:tc>
        <w:tc>
          <w:tcPr>
            <w:tcW w:w="2268" w:type="dxa"/>
            <w:vAlign w:val="center"/>
          </w:tcPr>
          <w:p w:rsidR="001A4031" w:rsidRPr="00892D9B" w:rsidRDefault="001A4031" w:rsidP="00864F29">
            <w:pPr>
              <w:keepNext w:val="0"/>
              <w:keepLines w:val="0"/>
              <w:widowControl w:val="0"/>
              <w:spacing w:before="60" w:after="60"/>
              <w:jc w:val="center"/>
              <w:rPr>
                <w:rFonts w:cs="Arial"/>
                <w:sz w:val="16"/>
                <w:szCs w:val="16"/>
              </w:rPr>
            </w:pPr>
            <w:r w:rsidRPr="00892D9B">
              <w:rPr>
                <w:rFonts w:cs="Arial"/>
                <w:sz w:val="16"/>
                <w:szCs w:val="16"/>
              </w:rPr>
              <w:t>0,4207%</w:t>
            </w:r>
          </w:p>
        </w:tc>
      </w:tr>
      <w:tr w:rsidR="001A4031" w:rsidRPr="00892D9B" w:rsidTr="00450DE3">
        <w:tc>
          <w:tcPr>
            <w:tcW w:w="5211" w:type="dxa"/>
          </w:tcPr>
          <w:p w:rsidR="001A4031" w:rsidRPr="00892D9B" w:rsidRDefault="001A4031" w:rsidP="00864F29">
            <w:pPr>
              <w:keepNext w:val="0"/>
              <w:keepLines w:val="0"/>
              <w:widowControl w:val="0"/>
              <w:spacing w:before="60" w:after="60"/>
              <w:rPr>
                <w:rFonts w:cs="Arial"/>
                <w:sz w:val="16"/>
                <w:szCs w:val="16"/>
              </w:rPr>
            </w:pPr>
            <w:proofErr w:type="spellStart"/>
            <w:r w:rsidRPr="00892D9B">
              <w:rPr>
                <w:rFonts w:cs="Arial"/>
                <w:sz w:val="16"/>
                <w:szCs w:val="16"/>
              </w:rPr>
              <w:t>Droits</w:t>
            </w:r>
            <w:proofErr w:type="spellEnd"/>
            <w:r w:rsidRPr="00892D9B">
              <w:rPr>
                <w:rFonts w:cs="Arial"/>
                <w:sz w:val="16"/>
                <w:szCs w:val="16"/>
              </w:rPr>
              <w:t xml:space="preserve"> de sortie</w:t>
            </w:r>
          </w:p>
        </w:tc>
        <w:tc>
          <w:tcPr>
            <w:tcW w:w="2268" w:type="dxa"/>
            <w:vAlign w:val="center"/>
          </w:tcPr>
          <w:p w:rsidR="001A4031" w:rsidRPr="00892D9B" w:rsidRDefault="001A4031" w:rsidP="00864F29">
            <w:pPr>
              <w:keepNext w:val="0"/>
              <w:keepLines w:val="0"/>
              <w:widowControl w:val="0"/>
              <w:spacing w:before="60" w:after="60"/>
              <w:jc w:val="center"/>
              <w:rPr>
                <w:rFonts w:cs="Arial"/>
                <w:sz w:val="16"/>
                <w:szCs w:val="16"/>
              </w:rPr>
            </w:pPr>
            <w:r w:rsidRPr="00892D9B">
              <w:rPr>
                <w:rFonts w:cs="Arial"/>
                <w:sz w:val="16"/>
                <w:szCs w:val="16"/>
              </w:rPr>
              <w:t>0,2403 %</w:t>
            </w:r>
          </w:p>
        </w:tc>
        <w:tc>
          <w:tcPr>
            <w:tcW w:w="2268" w:type="dxa"/>
            <w:vAlign w:val="center"/>
          </w:tcPr>
          <w:p w:rsidR="001A4031" w:rsidRPr="00892D9B" w:rsidRDefault="001A4031" w:rsidP="00864F29">
            <w:pPr>
              <w:keepNext w:val="0"/>
              <w:keepLines w:val="0"/>
              <w:widowControl w:val="0"/>
              <w:spacing w:before="60" w:after="60"/>
              <w:jc w:val="center"/>
              <w:rPr>
                <w:rFonts w:cs="Arial"/>
                <w:sz w:val="16"/>
                <w:szCs w:val="16"/>
              </w:rPr>
            </w:pPr>
          </w:p>
        </w:tc>
      </w:tr>
      <w:tr w:rsidR="001A4031" w:rsidRPr="00892D9B" w:rsidTr="00450DE3">
        <w:tc>
          <w:tcPr>
            <w:tcW w:w="5211" w:type="dxa"/>
          </w:tcPr>
          <w:p w:rsidR="001A4031" w:rsidRPr="00892D9B" w:rsidRDefault="001A4031" w:rsidP="00864F29">
            <w:pPr>
              <w:keepNext w:val="0"/>
              <w:keepLines w:val="0"/>
              <w:widowControl w:val="0"/>
              <w:spacing w:before="60" w:after="60"/>
              <w:rPr>
                <w:rFonts w:cs="Arial"/>
                <w:sz w:val="16"/>
                <w:szCs w:val="16"/>
                <w:lang w:val="fr-FR"/>
              </w:rPr>
            </w:pPr>
            <w:r w:rsidRPr="00892D9B">
              <w:rPr>
                <w:rFonts w:cs="Arial"/>
                <w:sz w:val="16"/>
                <w:szCs w:val="16"/>
                <w:lang w:val="fr-FR"/>
              </w:rPr>
              <w:t>Frais récurrents de gestion et de fonctionnement</w:t>
            </w:r>
          </w:p>
        </w:tc>
        <w:tc>
          <w:tcPr>
            <w:tcW w:w="2268" w:type="dxa"/>
            <w:vAlign w:val="center"/>
          </w:tcPr>
          <w:p w:rsidR="001A4031" w:rsidRPr="00892D9B" w:rsidRDefault="001A4031" w:rsidP="00864F29">
            <w:pPr>
              <w:keepNext w:val="0"/>
              <w:keepLines w:val="0"/>
              <w:widowControl w:val="0"/>
              <w:spacing w:before="60" w:after="60"/>
              <w:jc w:val="center"/>
              <w:rPr>
                <w:rFonts w:cs="Arial"/>
                <w:sz w:val="16"/>
                <w:szCs w:val="16"/>
              </w:rPr>
            </w:pPr>
            <w:r w:rsidRPr="00892D9B">
              <w:rPr>
                <w:rFonts w:cs="Arial"/>
                <w:sz w:val="16"/>
                <w:szCs w:val="16"/>
              </w:rPr>
              <w:t>3,6538 %</w:t>
            </w:r>
          </w:p>
        </w:tc>
        <w:tc>
          <w:tcPr>
            <w:tcW w:w="2268" w:type="dxa"/>
            <w:vAlign w:val="center"/>
          </w:tcPr>
          <w:p w:rsidR="001A4031" w:rsidRPr="00892D9B" w:rsidRDefault="001A4031" w:rsidP="00864F29">
            <w:pPr>
              <w:keepNext w:val="0"/>
              <w:keepLines w:val="0"/>
              <w:widowControl w:val="0"/>
              <w:spacing w:before="60" w:after="60"/>
              <w:jc w:val="center"/>
              <w:rPr>
                <w:rFonts w:cs="Arial"/>
                <w:sz w:val="16"/>
                <w:szCs w:val="16"/>
              </w:rPr>
            </w:pPr>
            <w:r w:rsidRPr="00892D9B">
              <w:rPr>
                <w:rFonts w:cs="Arial"/>
                <w:sz w:val="16"/>
                <w:szCs w:val="16"/>
              </w:rPr>
              <w:t>0,3606 %</w:t>
            </w:r>
          </w:p>
        </w:tc>
      </w:tr>
      <w:tr w:rsidR="001A4031" w:rsidRPr="00892D9B" w:rsidTr="00450DE3">
        <w:tc>
          <w:tcPr>
            <w:tcW w:w="5211" w:type="dxa"/>
          </w:tcPr>
          <w:p w:rsidR="001A4031" w:rsidRPr="00892D9B" w:rsidRDefault="001A4031" w:rsidP="00864F29">
            <w:pPr>
              <w:keepNext w:val="0"/>
              <w:keepLines w:val="0"/>
              <w:widowControl w:val="0"/>
              <w:spacing w:before="60" w:after="60"/>
              <w:rPr>
                <w:rFonts w:cs="Arial"/>
                <w:sz w:val="16"/>
                <w:szCs w:val="16"/>
              </w:rPr>
            </w:pPr>
            <w:proofErr w:type="spellStart"/>
            <w:r w:rsidRPr="00892D9B">
              <w:rPr>
                <w:rFonts w:cs="Arial"/>
                <w:sz w:val="16"/>
                <w:szCs w:val="16"/>
              </w:rPr>
              <w:t>Frais</w:t>
            </w:r>
            <w:proofErr w:type="spellEnd"/>
            <w:r w:rsidRPr="00892D9B">
              <w:rPr>
                <w:rFonts w:cs="Arial"/>
                <w:sz w:val="16"/>
                <w:szCs w:val="16"/>
              </w:rPr>
              <w:t xml:space="preserve"> de constitution</w:t>
            </w:r>
          </w:p>
        </w:tc>
        <w:tc>
          <w:tcPr>
            <w:tcW w:w="2268" w:type="dxa"/>
            <w:vAlign w:val="center"/>
          </w:tcPr>
          <w:p w:rsidR="001A4031" w:rsidRPr="00892D9B" w:rsidRDefault="001A4031" w:rsidP="00864F29">
            <w:pPr>
              <w:keepNext w:val="0"/>
              <w:keepLines w:val="0"/>
              <w:widowControl w:val="0"/>
              <w:spacing w:before="60" w:after="60"/>
              <w:jc w:val="center"/>
              <w:rPr>
                <w:rFonts w:cs="Arial"/>
                <w:sz w:val="16"/>
                <w:szCs w:val="16"/>
              </w:rPr>
            </w:pPr>
            <w:r w:rsidRPr="00892D9B">
              <w:rPr>
                <w:rFonts w:cs="Arial"/>
                <w:sz w:val="16"/>
                <w:szCs w:val="16"/>
              </w:rPr>
              <w:t>0,0701 %</w:t>
            </w:r>
          </w:p>
        </w:tc>
        <w:tc>
          <w:tcPr>
            <w:tcW w:w="2268" w:type="dxa"/>
            <w:vAlign w:val="center"/>
          </w:tcPr>
          <w:p w:rsidR="001A4031" w:rsidRPr="00892D9B" w:rsidRDefault="001A4031" w:rsidP="00864F29">
            <w:pPr>
              <w:keepNext w:val="0"/>
              <w:keepLines w:val="0"/>
              <w:widowControl w:val="0"/>
              <w:spacing w:before="60" w:after="60"/>
              <w:jc w:val="center"/>
              <w:rPr>
                <w:rFonts w:cs="Arial"/>
                <w:sz w:val="16"/>
                <w:szCs w:val="16"/>
              </w:rPr>
            </w:pPr>
          </w:p>
        </w:tc>
      </w:tr>
      <w:tr w:rsidR="001A4031" w:rsidRPr="00892D9B" w:rsidTr="00450DE3">
        <w:tc>
          <w:tcPr>
            <w:tcW w:w="5211" w:type="dxa"/>
          </w:tcPr>
          <w:p w:rsidR="001A4031" w:rsidRPr="00892D9B" w:rsidRDefault="001A4031" w:rsidP="00864F29">
            <w:pPr>
              <w:keepNext w:val="0"/>
              <w:keepLines w:val="0"/>
              <w:widowControl w:val="0"/>
              <w:spacing w:before="60" w:after="60"/>
              <w:rPr>
                <w:rFonts w:cs="Arial"/>
                <w:sz w:val="16"/>
                <w:szCs w:val="16"/>
                <w:lang w:val="fr-FR"/>
              </w:rPr>
            </w:pPr>
            <w:r w:rsidRPr="00892D9B">
              <w:rPr>
                <w:rFonts w:cs="Arial"/>
                <w:sz w:val="16"/>
                <w:szCs w:val="16"/>
                <w:lang w:val="fr-FR"/>
              </w:rPr>
              <w:t>Frais de fonctionnement non récurrents liés à l’acquisition, au suivi et à la cession des participations</w:t>
            </w:r>
          </w:p>
        </w:tc>
        <w:tc>
          <w:tcPr>
            <w:tcW w:w="2268" w:type="dxa"/>
            <w:vAlign w:val="center"/>
          </w:tcPr>
          <w:p w:rsidR="001A4031" w:rsidRPr="00892D9B" w:rsidRDefault="001A4031" w:rsidP="00864F29">
            <w:pPr>
              <w:keepNext w:val="0"/>
              <w:keepLines w:val="0"/>
              <w:widowControl w:val="0"/>
              <w:spacing w:before="60" w:after="60"/>
              <w:jc w:val="center"/>
              <w:rPr>
                <w:rFonts w:cs="Arial"/>
                <w:sz w:val="16"/>
                <w:szCs w:val="16"/>
              </w:rPr>
            </w:pPr>
            <w:r w:rsidRPr="00892D9B">
              <w:rPr>
                <w:rFonts w:cs="Arial"/>
                <w:sz w:val="16"/>
                <w:szCs w:val="16"/>
              </w:rPr>
              <w:t>0,4808 %</w:t>
            </w:r>
          </w:p>
        </w:tc>
        <w:tc>
          <w:tcPr>
            <w:tcW w:w="2268" w:type="dxa"/>
            <w:vAlign w:val="center"/>
          </w:tcPr>
          <w:p w:rsidR="001A4031" w:rsidRPr="00892D9B" w:rsidRDefault="001A4031" w:rsidP="00864F29">
            <w:pPr>
              <w:keepNext w:val="0"/>
              <w:keepLines w:val="0"/>
              <w:widowControl w:val="0"/>
              <w:spacing w:before="60" w:after="60"/>
              <w:jc w:val="center"/>
              <w:rPr>
                <w:rFonts w:cs="Arial"/>
                <w:sz w:val="16"/>
                <w:szCs w:val="16"/>
              </w:rPr>
            </w:pPr>
          </w:p>
        </w:tc>
      </w:tr>
      <w:tr w:rsidR="001A4031" w:rsidRPr="00892D9B" w:rsidTr="00450DE3">
        <w:tc>
          <w:tcPr>
            <w:tcW w:w="5211" w:type="dxa"/>
          </w:tcPr>
          <w:p w:rsidR="001A4031" w:rsidRPr="00892D9B" w:rsidRDefault="001A4031" w:rsidP="00864F29">
            <w:pPr>
              <w:keepNext w:val="0"/>
              <w:keepLines w:val="0"/>
              <w:widowControl w:val="0"/>
              <w:spacing w:before="60" w:after="60"/>
              <w:rPr>
                <w:rFonts w:cs="Arial"/>
                <w:sz w:val="16"/>
                <w:szCs w:val="16"/>
              </w:rPr>
            </w:pPr>
            <w:proofErr w:type="spellStart"/>
            <w:r w:rsidRPr="00892D9B">
              <w:rPr>
                <w:rFonts w:cs="Arial"/>
                <w:sz w:val="16"/>
                <w:szCs w:val="16"/>
              </w:rPr>
              <w:t>Frais</w:t>
            </w:r>
            <w:proofErr w:type="spellEnd"/>
            <w:r w:rsidRPr="00892D9B">
              <w:rPr>
                <w:rFonts w:cs="Arial"/>
                <w:sz w:val="16"/>
                <w:szCs w:val="16"/>
              </w:rPr>
              <w:t xml:space="preserve"> de </w:t>
            </w:r>
            <w:proofErr w:type="spellStart"/>
            <w:r w:rsidRPr="00892D9B">
              <w:rPr>
                <w:rFonts w:cs="Arial"/>
                <w:sz w:val="16"/>
                <w:szCs w:val="16"/>
              </w:rPr>
              <w:t>gestion</w:t>
            </w:r>
            <w:proofErr w:type="spellEnd"/>
            <w:r w:rsidRPr="00892D9B">
              <w:rPr>
                <w:rFonts w:cs="Arial"/>
                <w:sz w:val="16"/>
                <w:szCs w:val="16"/>
              </w:rPr>
              <w:t xml:space="preserve"> </w:t>
            </w:r>
            <w:proofErr w:type="spellStart"/>
            <w:r w:rsidRPr="00892D9B">
              <w:rPr>
                <w:rFonts w:cs="Arial"/>
                <w:sz w:val="16"/>
                <w:szCs w:val="16"/>
              </w:rPr>
              <w:t>indirects</w:t>
            </w:r>
            <w:proofErr w:type="spellEnd"/>
            <w:r w:rsidR="00B15470">
              <w:rPr>
                <w:rFonts w:cs="Arial"/>
                <w:sz w:val="16"/>
                <w:szCs w:val="16"/>
              </w:rPr>
              <w:t>*</w:t>
            </w:r>
          </w:p>
        </w:tc>
        <w:tc>
          <w:tcPr>
            <w:tcW w:w="2268" w:type="dxa"/>
            <w:vAlign w:val="center"/>
          </w:tcPr>
          <w:p w:rsidR="001A4031" w:rsidRPr="00892D9B" w:rsidRDefault="006014A2" w:rsidP="00864F29">
            <w:pPr>
              <w:keepNext w:val="0"/>
              <w:keepLines w:val="0"/>
              <w:widowControl w:val="0"/>
              <w:spacing w:before="60" w:after="60"/>
              <w:jc w:val="center"/>
              <w:rPr>
                <w:rFonts w:cs="Arial"/>
                <w:sz w:val="16"/>
                <w:szCs w:val="16"/>
              </w:rPr>
            </w:pPr>
            <w:r>
              <w:rPr>
                <w:rFonts w:cs="Arial"/>
                <w:sz w:val="16"/>
                <w:szCs w:val="16"/>
              </w:rPr>
              <w:t>*</w:t>
            </w:r>
          </w:p>
        </w:tc>
        <w:tc>
          <w:tcPr>
            <w:tcW w:w="2268" w:type="dxa"/>
            <w:vAlign w:val="center"/>
          </w:tcPr>
          <w:p w:rsidR="001A4031" w:rsidRPr="00892D9B" w:rsidRDefault="001A4031" w:rsidP="00864F29">
            <w:pPr>
              <w:keepNext w:val="0"/>
              <w:keepLines w:val="0"/>
              <w:widowControl w:val="0"/>
              <w:spacing w:before="60" w:after="60"/>
              <w:jc w:val="center"/>
              <w:rPr>
                <w:rFonts w:cs="Arial"/>
                <w:sz w:val="16"/>
                <w:szCs w:val="16"/>
              </w:rPr>
            </w:pPr>
          </w:p>
        </w:tc>
      </w:tr>
      <w:tr w:rsidR="001A4031" w:rsidRPr="00892D9B" w:rsidTr="00450DE3">
        <w:tc>
          <w:tcPr>
            <w:tcW w:w="5211" w:type="dxa"/>
          </w:tcPr>
          <w:p w:rsidR="001A4031" w:rsidRPr="00892D9B" w:rsidRDefault="001A4031" w:rsidP="00864F29">
            <w:pPr>
              <w:keepNext w:val="0"/>
              <w:keepLines w:val="0"/>
              <w:widowControl w:val="0"/>
              <w:spacing w:before="60" w:after="60"/>
              <w:rPr>
                <w:rFonts w:cs="Arial"/>
                <w:sz w:val="16"/>
                <w:szCs w:val="16"/>
              </w:rPr>
            </w:pPr>
            <w:r w:rsidRPr="00892D9B">
              <w:rPr>
                <w:rFonts w:cs="Arial"/>
                <w:sz w:val="16"/>
                <w:szCs w:val="16"/>
              </w:rPr>
              <w:t>Total</w:t>
            </w:r>
          </w:p>
        </w:tc>
        <w:tc>
          <w:tcPr>
            <w:tcW w:w="2268" w:type="dxa"/>
            <w:vAlign w:val="center"/>
          </w:tcPr>
          <w:p w:rsidR="001A4031" w:rsidRPr="00892D9B" w:rsidRDefault="00307283" w:rsidP="00864F29">
            <w:pPr>
              <w:keepNext w:val="0"/>
              <w:keepLines w:val="0"/>
              <w:widowControl w:val="0"/>
              <w:spacing w:before="60" w:after="60"/>
              <w:jc w:val="center"/>
              <w:rPr>
                <w:rFonts w:cs="Arial"/>
                <w:sz w:val="16"/>
                <w:szCs w:val="16"/>
              </w:rPr>
            </w:pPr>
            <w:r>
              <w:rPr>
                <w:rFonts w:cs="Arial"/>
                <w:sz w:val="16"/>
                <w:szCs w:val="16"/>
              </w:rPr>
              <w:t>4,9259</w:t>
            </w:r>
            <w:r w:rsidR="00D6145D">
              <w:rPr>
                <w:rFonts w:cs="Arial"/>
                <w:sz w:val="16"/>
                <w:szCs w:val="16"/>
              </w:rPr>
              <w:t>%</w:t>
            </w:r>
          </w:p>
        </w:tc>
        <w:tc>
          <w:tcPr>
            <w:tcW w:w="2268" w:type="dxa"/>
            <w:vAlign w:val="center"/>
          </w:tcPr>
          <w:p w:rsidR="001A4031" w:rsidRPr="00892D9B" w:rsidRDefault="001A4031" w:rsidP="00864F29">
            <w:pPr>
              <w:keepNext w:val="0"/>
              <w:keepLines w:val="0"/>
              <w:widowControl w:val="0"/>
              <w:spacing w:before="60" w:after="60"/>
              <w:jc w:val="center"/>
              <w:rPr>
                <w:rFonts w:cs="Arial"/>
                <w:sz w:val="16"/>
                <w:szCs w:val="16"/>
              </w:rPr>
            </w:pPr>
            <w:r w:rsidRPr="00892D9B">
              <w:rPr>
                <w:rFonts w:cs="Arial"/>
                <w:sz w:val="16"/>
                <w:szCs w:val="16"/>
              </w:rPr>
              <w:t>0,7813 %</w:t>
            </w:r>
          </w:p>
        </w:tc>
      </w:tr>
    </w:tbl>
    <w:p w:rsidR="0004295F" w:rsidRPr="0004295F" w:rsidRDefault="0004295F" w:rsidP="0004295F">
      <w:pPr>
        <w:pStyle w:val="Corpsdetexte"/>
        <w:rPr>
          <w:rFonts w:ascii="Arial" w:hAnsi="Arial" w:cs="Arial"/>
          <w:sz w:val="16"/>
          <w:szCs w:val="16"/>
        </w:rPr>
      </w:pPr>
      <w:r w:rsidRPr="0004295F">
        <w:rPr>
          <w:rFonts w:ascii="Arial" w:hAnsi="Arial" w:cs="Arial"/>
          <w:sz w:val="16"/>
          <w:szCs w:val="16"/>
        </w:rPr>
        <w:t>* Conformément à l’arrêté du 1</w:t>
      </w:r>
      <w:r w:rsidRPr="0004295F">
        <w:rPr>
          <w:rFonts w:ascii="Arial" w:hAnsi="Arial" w:cs="Arial"/>
          <w:sz w:val="16"/>
          <w:szCs w:val="16"/>
          <w:vertAlign w:val="superscript"/>
        </w:rPr>
        <w:t>er</w:t>
      </w:r>
      <w:r w:rsidRPr="0004295F">
        <w:rPr>
          <w:rFonts w:ascii="Arial" w:hAnsi="Arial" w:cs="Arial"/>
          <w:sz w:val="16"/>
          <w:szCs w:val="16"/>
        </w:rPr>
        <w:t xml:space="preserve"> mars 2011,  les frais de gestion indirects liés aux investissements dans des parts d’autres organismes de placement collectif en valeurs mobilières ou fonds d’investissement</w:t>
      </w:r>
      <w:r w:rsidR="006014A2" w:rsidRPr="006014A2">
        <w:rPr>
          <w:rFonts w:ascii="Arial" w:hAnsi="Arial" w:cs="Arial"/>
          <w:sz w:val="16"/>
          <w:szCs w:val="16"/>
        </w:rPr>
        <w:t xml:space="preserve"> </w:t>
      </w:r>
      <w:r w:rsidR="006014A2" w:rsidRPr="0004295F">
        <w:rPr>
          <w:rFonts w:ascii="Arial" w:hAnsi="Arial" w:cs="Arial"/>
          <w:sz w:val="16"/>
          <w:szCs w:val="16"/>
        </w:rPr>
        <w:t xml:space="preserve">ont été exclus </w:t>
      </w:r>
      <w:r w:rsidR="00AC44AD">
        <w:rPr>
          <w:rFonts w:ascii="Arial" w:hAnsi="Arial" w:cs="Arial"/>
          <w:sz w:val="16"/>
          <w:szCs w:val="16"/>
        </w:rPr>
        <w:t xml:space="preserve">de la catégorie des frais de gestion indirects pour le </w:t>
      </w:r>
      <w:r w:rsidR="006014A2">
        <w:rPr>
          <w:rFonts w:ascii="Arial" w:hAnsi="Arial" w:cs="Arial"/>
          <w:sz w:val="16"/>
          <w:szCs w:val="16"/>
        </w:rPr>
        <w:t xml:space="preserve">calcul du </w:t>
      </w:r>
      <w:r w:rsidR="006014A2" w:rsidRPr="0004295F">
        <w:rPr>
          <w:rFonts w:ascii="Arial" w:hAnsi="Arial" w:cs="Arial"/>
          <w:sz w:val="16"/>
          <w:szCs w:val="16"/>
        </w:rPr>
        <w:t>TFAM</w:t>
      </w:r>
      <w:r w:rsidRPr="0004295F">
        <w:rPr>
          <w:rFonts w:ascii="Arial" w:hAnsi="Arial" w:cs="Arial"/>
          <w:sz w:val="16"/>
          <w:szCs w:val="16"/>
        </w:rPr>
        <w:t>.</w:t>
      </w:r>
    </w:p>
    <w:p w:rsidR="00011083" w:rsidRPr="00892D9B" w:rsidRDefault="00E3583D" w:rsidP="004A4FCA">
      <w:pPr>
        <w:keepNext w:val="0"/>
        <w:keepLines w:val="0"/>
        <w:widowControl w:val="0"/>
        <w:spacing w:after="240"/>
        <w:rPr>
          <w:rFonts w:cs="Arial"/>
          <w:i/>
          <w:sz w:val="16"/>
          <w:szCs w:val="16"/>
          <w:u w:val="single"/>
          <w:lang w:val="fr-FR"/>
        </w:rPr>
      </w:pPr>
      <w:r w:rsidRPr="00892D9B">
        <w:rPr>
          <w:rFonts w:cs="Arial"/>
          <w:i/>
          <w:sz w:val="16"/>
          <w:szCs w:val="16"/>
          <w:u w:val="single"/>
          <w:lang w:val="fr-FR"/>
        </w:rPr>
        <w:br/>
      </w:r>
      <w:r w:rsidR="00011083" w:rsidRPr="00892D9B">
        <w:rPr>
          <w:rFonts w:cs="Arial"/>
          <w:i/>
          <w:sz w:val="16"/>
          <w:szCs w:val="16"/>
          <w:u w:val="single"/>
          <w:lang w:val="fr-FR"/>
        </w:rPr>
        <w:t>Modalités spécifiques de partage de la plus-value au bénéfice de la Société de Gestion (« </w:t>
      </w:r>
      <w:proofErr w:type="spellStart"/>
      <w:r w:rsidR="00011083" w:rsidRPr="00892D9B">
        <w:rPr>
          <w:rFonts w:cs="Arial"/>
          <w:i/>
          <w:sz w:val="16"/>
          <w:szCs w:val="16"/>
          <w:u w:val="single"/>
          <w:lang w:val="fr-FR"/>
        </w:rPr>
        <w:t>Carried</w:t>
      </w:r>
      <w:proofErr w:type="spellEnd"/>
      <w:r w:rsidR="00011083" w:rsidRPr="00892D9B">
        <w:rPr>
          <w:rFonts w:cs="Arial"/>
          <w:i/>
          <w:sz w:val="16"/>
          <w:szCs w:val="16"/>
          <w:u w:val="single"/>
          <w:lang w:val="fr-FR"/>
        </w:rPr>
        <w:t xml:space="preserve"> </w:t>
      </w:r>
      <w:proofErr w:type="spellStart"/>
      <w:r w:rsidR="00011083" w:rsidRPr="00892D9B">
        <w:rPr>
          <w:rFonts w:cs="Arial"/>
          <w:i/>
          <w:sz w:val="16"/>
          <w:szCs w:val="16"/>
          <w:u w:val="single"/>
          <w:lang w:val="fr-FR"/>
        </w:rPr>
        <w:t>Interest</w:t>
      </w:r>
      <w:proofErr w:type="spellEnd"/>
      <w:r w:rsidR="00011083" w:rsidRPr="00892D9B">
        <w:rPr>
          <w:rFonts w:cs="Arial"/>
          <w:i/>
          <w:sz w:val="16"/>
          <w:szCs w:val="16"/>
          <w:u w:val="single"/>
          <w:lang w:val="fr-FR"/>
        </w:rPr>
        <w: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08"/>
        <w:gridCol w:w="1856"/>
        <w:gridCol w:w="1783"/>
      </w:tblGrid>
      <w:tr w:rsidR="00011083" w:rsidRPr="00892D9B" w:rsidTr="0039137F">
        <w:tc>
          <w:tcPr>
            <w:tcW w:w="6108" w:type="dxa"/>
            <w:vAlign w:val="center"/>
          </w:tcPr>
          <w:p w:rsidR="00011083" w:rsidRPr="00892D9B" w:rsidRDefault="00011083" w:rsidP="002B09E9">
            <w:pPr>
              <w:keepNext w:val="0"/>
              <w:keepLines w:val="0"/>
              <w:widowControl w:val="0"/>
              <w:spacing w:before="60" w:after="60"/>
              <w:jc w:val="center"/>
              <w:rPr>
                <w:rFonts w:cs="Arial"/>
                <w:sz w:val="16"/>
                <w:szCs w:val="16"/>
                <w:lang w:val="fr-FR"/>
              </w:rPr>
            </w:pPr>
            <w:r w:rsidRPr="00892D9B">
              <w:rPr>
                <w:rFonts w:cs="Arial"/>
                <w:sz w:val="16"/>
                <w:szCs w:val="16"/>
                <w:lang w:val="fr-FR"/>
              </w:rPr>
              <w:t xml:space="preserve">DESCRIPTION DES PRINCIPALES REGLES DE PARTAGE DE LA PLUS-VALUE </w:t>
            </w:r>
            <w:r w:rsidRPr="00892D9B">
              <w:rPr>
                <w:rFonts w:cs="Arial"/>
                <w:sz w:val="16"/>
                <w:szCs w:val="16"/>
                <w:lang w:val="fr-FR"/>
              </w:rPr>
              <w:br/>
              <w:t>au bénéfice de la société de gestion (« </w:t>
            </w:r>
            <w:proofErr w:type="spellStart"/>
            <w:r w:rsidRPr="00892D9B">
              <w:rPr>
                <w:rFonts w:cs="Arial"/>
                <w:sz w:val="16"/>
                <w:szCs w:val="16"/>
                <w:lang w:val="fr-FR"/>
              </w:rPr>
              <w:t>Carried</w:t>
            </w:r>
            <w:proofErr w:type="spellEnd"/>
            <w:r w:rsidRPr="00892D9B">
              <w:rPr>
                <w:rFonts w:cs="Arial"/>
                <w:sz w:val="16"/>
                <w:szCs w:val="16"/>
                <w:lang w:val="fr-FR"/>
              </w:rPr>
              <w:t xml:space="preserve"> </w:t>
            </w:r>
            <w:proofErr w:type="spellStart"/>
            <w:r w:rsidRPr="00892D9B">
              <w:rPr>
                <w:rFonts w:cs="Arial"/>
                <w:sz w:val="16"/>
                <w:szCs w:val="16"/>
                <w:lang w:val="fr-FR"/>
              </w:rPr>
              <w:t>Interest</w:t>
            </w:r>
            <w:proofErr w:type="spellEnd"/>
            <w:r w:rsidRPr="00892D9B">
              <w:rPr>
                <w:rFonts w:cs="Arial"/>
                <w:sz w:val="16"/>
                <w:szCs w:val="16"/>
                <w:lang w:val="fr-FR"/>
              </w:rPr>
              <w:t> »)</w:t>
            </w:r>
          </w:p>
        </w:tc>
        <w:tc>
          <w:tcPr>
            <w:tcW w:w="1856" w:type="dxa"/>
            <w:vAlign w:val="center"/>
          </w:tcPr>
          <w:p w:rsidR="00011083" w:rsidRPr="00892D9B" w:rsidRDefault="00011083" w:rsidP="002B09E9">
            <w:pPr>
              <w:keepNext w:val="0"/>
              <w:keepLines w:val="0"/>
              <w:widowControl w:val="0"/>
              <w:spacing w:before="60" w:after="60"/>
              <w:jc w:val="center"/>
              <w:rPr>
                <w:rFonts w:cs="Arial"/>
                <w:sz w:val="16"/>
                <w:szCs w:val="16"/>
                <w:lang w:val="fr-FR"/>
              </w:rPr>
            </w:pPr>
            <w:r w:rsidRPr="00892D9B">
              <w:rPr>
                <w:rFonts w:cs="Arial"/>
                <w:sz w:val="16"/>
                <w:szCs w:val="16"/>
                <w:lang w:val="fr-FR"/>
              </w:rPr>
              <w:t>ABREVIATION</w:t>
            </w:r>
            <w:r w:rsidRPr="00892D9B">
              <w:rPr>
                <w:rFonts w:cs="Arial"/>
                <w:sz w:val="16"/>
                <w:szCs w:val="16"/>
                <w:lang w:val="fr-FR"/>
              </w:rPr>
              <w:br/>
              <w:t>ou formule de calcul</w:t>
            </w:r>
          </w:p>
        </w:tc>
        <w:tc>
          <w:tcPr>
            <w:tcW w:w="1783" w:type="dxa"/>
            <w:vAlign w:val="center"/>
          </w:tcPr>
          <w:p w:rsidR="00011083" w:rsidRPr="00892D9B" w:rsidRDefault="00011083" w:rsidP="002B09E9">
            <w:pPr>
              <w:keepNext w:val="0"/>
              <w:keepLines w:val="0"/>
              <w:widowControl w:val="0"/>
              <w:spacing w:before="60" w:after="60"/>
              <w:jc w:val="center"/>
              <w:rPr>
                <w:rFonts w:cs="Arial"/>
                <w:sz w:val="16"/>
                <w:szCs w:val="16"/>
              </w:rPr>
            </w:pPr>
            <w:r w:rsidRPr="00892D9B">
              <w:rPr>
                <w:rFonts w:cs="Arial"/>
                <w:sz w:val="16"/>
                <w:szCs w:val="16"/>
              </w:rPr>
              <w:t>VALEUR</w:t>
            </w:r>
          </w:p>
        </w:tc>
      </w:tr>
      <w:tr w:rsidR="00011083" w:rsidRPr="00892D9B" w:rsidTr="0039137F">
        <w:tc>
          <w:tcPr>
            <w:tcW w:w="6108" w:type="dxa"/>
          </w:tcPr>
          <w:p w:rsidR="00011083" w:rsidRPr="00892D9B" w:rsidRDefault="00011083" w:rsidP="002B09E9">
            <w:pPr>
              <w:keepNext w:val="0"/>
              <w:keepLines w:val="0"/>
              <w:widowControl w:val="0"/>
              <w:spacing w:before="60" w:after="60"/>
              <w:rPr>
                <w:rFonts w:cs="Arial"/>
                <w:sz w:val="16"/>
                <w:szCs w:val="16"/>
                <w:lang w:val="fr-FR"/>
              </w:rPr>
            </w:pPr>
            <w:r w:rsidRPr="00892D9B">
              <w:rPr>
                <w:rFonts w:cs="Arial"/>
                <w:sz w:val="16"/>
                <w:szCs w:val="16"/>
                <w:lang w:val="fr-FR"/>
              </w:rPr>
              <w:t>Pourcentage des produits et plus-values nets de charges du Fonds attribués aux parts B dès lors que le nominal des parts A aura été remboursé au souscripteur</w:t>
            </w:r>
          </w:p>
        </w:tc>
        <w:tc>
          <w:tcPr>
            <w:tcW w:w="1856" w:type="dxa"/>
            <w:vAlign w:val="center"/>
          </w:tcPr>
          <w:p w:rsidR="00011083" w:rsidRPr="00892D9B" w:rsidRDefault="00011083" w:rsidP="002B09E9">
            <w:pPr>
              <w:keepNext w:val="0"/>
              <w:keepLines w:val="0"/>
              <w:widowControl w:val="0"/>
              <w:spacing w:before="60" w:after="60"/>
              <w:jc w:val="center"/>
              <w:rPr>
                <w:rFonts w:cs="Arial"/>
                <w:sz w:val="16"/>
                <w:szCs w:val="16"/>
              </w:rPr>
            </w:pPr>
            <w:r w:rsidRPr="00892D9B">
              <w:rPr>
                <w:rFonts w:cs="Arial"/>
                <w:sz w:val="16"/>
                <w:szCs w:val="16"/>
              </w:rPr>
              <w:t>(PVD)</w:t>
            </w:r>
          </w:p>
        </w:tc>
        <w:tc>
          <w:tcPr>
            <w:tcW w:w="1783" w:type="dxa"/>
            <w:vAlign w:val="center"/>
          </w:tcPr>
          <w:p w:rsidR="00011083" w:rsidRPr="00892D9B" w:rsidRDefault="00011083" w:rsidP="002B09E9">
            <w:pPr>
              <w:keepNext w:val="0"/>
              <w:keepLines w:val="0"/>
              <w:widowControl w:val="0"/>
              <w:spacing w:before="60" w:after="60"/>
              <w:jc w:val="center"/>
              <w:rPr>
                <w:rFonts w:cs="Arial"/>
                <w:sz w:val="16"/>
                <w:szCs w:val="16"/>
              </w:rPr>
            </w:pPr>
            <w:r w:rsidRPr="00892D9B">
              <w:rPr>
                <w:rFonts w:cs="Arial"/>
                <w:sz w:val="16"/>
                <w:szCs w:val="16"/>
              </w:rPr>
              <w:t>20 %</w:t>
            </w:r>
          </w:p>
        </w:tc>
      </w:tr>
      <w:tr w:rsidR="00011083" w:rsidRPr="00892D9B" w:rsidTr="0039137F">
        <w:tc>
          <w:tcPr>
            <w:tcW w:w="6108" w:type="dxa"/>
          </w:tcPr>
          <w:p w:rsidR="00011083" w:rsidRPr="00892D9B" w:rsidRDefault="00011083" w:rsidP="002B09E9">
            <w:pPr>
              <w:keepNext w:val="0"/>
              <w:keepLines w:val="0"/>
              <w:widowControl w:val="0"/>
              <w:spacing w:before="60" w:after="60"/>
              <w:rPr>
                <w:rFonts w:cs="Arial"/>
                <w:sz w:val="16"/>
                <w:szCs w:val="16"/>
                <w:lang w:val="fr-FR"/>
              </w:rPr>
            </w:pPr>
            <w:r w:rsidRPr="00892D9B">
              <w:rPr>
                <w:rFonts w:cs="Arial"/>
                <w:sz w:val="16"/>
                <w:szCs w:val="16"/>
                <w:lang w:val="fr-FR"/>
              </w:rPr>
              <w:t>Pourcentage minimal du montant du capital initial que les titulaires de parts B doivent souscrire pour bénéficier du pourcentage (PVD)</w:t>
            </w:r>
          </w:p>
        </w:tc>
        <w:tc>
          <w:tcPr>
            <w:tcW w:w="1856" w:type="dxa"/>
            <w:vAlign w:val="center"/>
          </w:tcPr>
          <w:p w:rsidR="00011083" w:rsidRPr="00892D9B" w:rsidRDefault="00011083" w:rsidP="002B09E9">
            <w:pPr>
              <w:keepNext w:val="0"/>
              <w:keepLines w:val="0"/>
              <w:widowControl w:val="0"/>
              <w:spacing w:before="60" w:after="60"/>
              <w:jc w:val="center"/>
              <w:rPr>
                <w:rFonts w:cs="Arial"/>
                <w:sz w:val="16"/>
                <w:szCs w:val="16"/>
              </w:rPr>
            </w:pPr>
            <w:r w:rsidRPr="00892D9B">
              <w:rPr>
                <w:rFonts w:cs="Arial"/>
                <w:sz w:val="16"/>
                <w:szCs w:val="16"/>
              </w:rPr>
              <w:t>(SM)</w:t>
            </w:r>
          </w:p>
        </w:tc>
        <w:tc>
          <w:tcPr>
            <w:tcW w:w="1783" w:type="dxa"/>
            <w:vAlign w:val="center"/>
          </w:tcPr>
          <w:p w:rsidR="00011083" w:rsidRPr="00892D9B" w:rsidRDefault="00011083" w:rsidP="002B09E9">
            <w:pPr>
              <w:keepNext w:val="0"/>
              <w:keepLines w:val="0"/>
              <w:widowControl w:val="0"/>
              <w:spacing w:before="60" w:after="60"/>
              <w:jc w:val="center"/>
              <w:rPr>
                <w:rFonts w:cs="Arial"/>
                <w:sz w:val="16"/>
                <w:szCs w:val="16"/>
              </w:rPr>
            </w:pPr>
            <w:r w:rsidRPr="00892D9B">
              <w:rPr>
                <w:rFonts w:cs="Arial"/>
                <w:sz w:val="16"/>
                <w:szCs w:val="16"/>
              </w:rPr>
              <w:t>0,25 %</w:t>
            </w:r>
          </w:p>
        </w:tc>
      </w:tr>
      <w:tr w:rsidR="00011083" w:rsidRPr="00892D9B" w:rsidTr="0039137F">
        <w:tc>
          <w:tcPr>
            <w:tcW w:w="6108" w:type="dxa"/>
          </w:tcPr>
          <w:p w:rsidR="00011083" w:rsidRPr="00892D9B" w:rsidRDefault="00011083" w:rsidP="002B09E9">
            <w:pPr>
              <w:keepNext w:val="0"/>
              <w:keepLines w:val="0"/>
              <w:widowControl w:val="0"/>
              <w:spacing w:before="60" w:after="60"/>
              <w:rPr>
                <w:rFonts w:cs="Arial"/>
                <w:sz w:val="16"/>
                <w:szCs w:val="16"/>
                <w:lang w:val="fr-FR"/>
              </w:rPr>
            </w:pPr>
            <w:r w:rsidRPr="00892D9B">
              <w:rPr>
                <w:rFonts w:cs="Arial"/>
                <w:sz w:val="16"/>
                <w:szCs w:val="16"/>
                <w:lang w:val="fr-FR"/>
              </w:rPr>
              <w:t>Conditions de rentabilité du Fonds qui doivent être réunies pour que les titulaires de parts B puissent bénéficier du pourcentage (PVD)</w:t>
            </w:r>
          </w:p>
        </w:tc>
        <w:tc>
          <w:tcPr>
            <w:tcW w:w="1856" w:type="dxa"/>
            <w:vAlign w:val="center"/>
          </w:tcPr>
          <w:p w:rsidR="00011083" w:rsidRPr="00892D9B" w:rsidRDefault="00011083" w:rsidP="002B09E9">
            <w:pPr>
              <w:keepNext w:val="0"/>
              <w:keepLines w:val="0"/>
              <w:widowControl w:val="0"/>
              <w:spacing w:before="60" w:after="60"/>
              <w:jc w:val="center"/>
              <w:rPr>
                <w:rFonts w:cs="Arial"/>
                <w:sz w:val="16"/>
                <w:szCs w:val="16"/>
              </w:rPr>
            </w:pPr>
            <w:r w:rsidRPr="00892D9B">
              <w:rPr>
                <w:rFonts w:cs="Arial"/>
                <w:sz w:val="16"/>
                <w:szCs w:val="16"/>
              </w:rPr>
              <w:t>(RM)</w:t>
            </w:r>
          </w:p>
        </w:tc>
        <w:tc>
          <w:tcPr>
            <w:tcW w:w="1783" w:type="dxa"/>
            <w:vAlign w:val="center"/>
          </w:tcPr>
          <w:p w:rsidR="00011083" w:rsidRPr="00892D9B" w:rsidRDefault="00B90B6A" w:rsidP="002B09E9">
            <w:pPr>
              <w:keepNext w:val="0"/>
              <w:keepLines w:val="0"/>
              <w:widowControl w:val="0"/>
              <w:spacing w:before="60" w:after="60"/>
              <w:jc w:val="center"/>
              <w:rPr>
                <w:rFonts w:cs="Arial"/>
                <w:sz w:val="16"/>
                <w:szCs w:val="16"/>
              </w:rPr>
            </w:pPr>
            <w:r>
              <w:rPr>
                <w:rFonts w:cs="Arial"/>
                <w:sz w:val="16"/>
                <w:szCs w:val="16"/>
              </w:rPr>
              <w:t>100 %</w:t>
            </w:r>
          </w:p>
        </w:tc>
      </w:tr>
    </w:tbl>
    <w:p w:rsidR="00450DE3" w:rsidRDefault="00E3583D" w:rsidP="004A4FCA">
      <w:pPr>
        <w:keepNext w:val="0"/>
        <w:keepLines w:val="0"/>
        <w:widowControl w:val="0"/>
        <w:spacing w:after="240"/>
        <w:rPr>
          <w:rFonts w:cs="Arial"/>
          <w:i/>
          <w:sz w:val="16"/>
          <w:szCs w:val="16"/>
          <w:u w:val="single"/>
          <w:lang w:val="fr-FR"/>
        </w:rPr>
        <w:sectPr w:rsidR="00450DE3" w:rsidSect="00450DE3">
          <w:pgSz w:w="11906" w:h="16838" w:code="9"/>
          <w:pgMar w:top="1134" w:right="1134" w:bottom="1134" w:left="1134" w:header="1418" w:footer="397" w:gutter="0"/>
          <w:cols w:space="708"/>
          <w:titlePg/>
          <w:docGrid w:linePitch="360"/>
        </w:sectPr>
      </w:pPr>
      <w:r w:rsidRPr="00892D9B">
        <w:rPr>
          <w:rFonts w:cs="Arial"/>
          <w:i/>
          <w:sz w:val="16"/>
          <w:szCs w:val="16"/>
          <w:u w:val="single"/>
          <w:lang w:val="fr-FR"/>
        </w:rPr>
        <w:br/>
      </w:r>
    </w:p>
    <w:p w:rsidR="00011083" w:rsidRPr="00892D9B" w:rsidRDefault="00011083" w:rsidP="004A4FCA">
      <w:pPr>
        <w:keepNext w:val="0"/>
        <w:keepLines w:val="0"/>
        <w:widowControl w:val="0"/>
        <w:spacing w:after="240"/>
        <w:rPr>
          <w:rFonts w:cs="Arial"/>
          <w:i/>
          <w:sz w:val="16"/>
          <w:szCs w:val="16"/>
          <w:u w:val="single"/>
          <w:lang w:val="fr-FR"/>
        </w:rPr>
      </w:pPr>
      <w:r w:rsidRPr="00892D9B">
        <w:rPr>
          <w:rFonts w:cs="Arial"/>
          <w:i/>
          <w:sz w:val="16"/>
          <w:szCs w:val="16"/>
          <w:u w:val="single"/>
          <w:lang w:val="fr-FR"/>
        </w:rPr>
        <w:lastRenderedPageBreak/>
        <w:t xml:space="preserve">Comparaison normalisée, selon trois scénarios de performance, entre la valeur liquidative des parts attribuées aux souscripteurs, les frais de gestion et de distribution et le coût pour le souscripteur du </w:t>
      </w:r>
      <w:proofErr w:type="spellStart"/>
      <w:r w:rsidRPr="00892D9B">
        <w:rPr>
          <w:rFonts w:cs="Arial"/>
          <w:i/>
          <w:sz w:val="16"/>
          <w:szCs w:val="16"/>
          <w:u w:val="single"/>
          <w:lang w:val="fr-FR"/>
        </w:rPr>
        <w:t>Carried</w:t>
      </w:r>
      <w:proofErr w:type="spellEnd"/>
      <w:r w:rsidRPr="00892D9B">
        <w:rPr>
          <w:rFonts w:cs="Arial"/>
          <w:i/>
          <w:sz w:val="16"/>
          <w:szCs w:val="16"/>
          <w:u w:val="single"/>
          <w:lang w:val="fr-FR"/>
        </w:rPr>
        <w:t xml:space="preserve"> </w:t>
      </w:r>
      <w:proofErr w:type="spellStart"/>
      <w:r w:rsidRPr="00892D9B">
        <w:rPr>
          <w:rFonts w:cs="Arial"/>
          <w:i/>
          <w:sz w:val="16"/>
          <w:szCs w:val="16"/>
          <w:u w:val="single"/>
          <w:lang w:val="fr-FR"/>
        </w:rPr>
        <w:t>Interest</w:t>
      </w:r>
      <w:proofErr w:type="spellEnd"/>
      <w:r w:rsidRPr="00892D9B">
        <w:rPr>
          <w:rFonts w:cs="Arial"/>
          <w:i/>
          <w:sz w:val="16"/>
          <w:szCs w:val="16"/>
          <w:u w:val="single"/>
          <w:lang w:val="fr-FR"/>
        </w:rPr>
        <w:t>.</w:t>
      </w:r>
    </w:p>
    <w:p w:rsidR="00011083" w:rsidRPr="00892D9B" w:rsidRDefault="00011083" w:rsidP="00E3583D">
      <w:pPr>
        <w:keepNext w:val="0"/>
        <w:keepLines w:val="0"/>
        <w:widowControl w:val="0"/>
        <w:spacing w:after="120"/>
        <w:rPr>
          <w:rFonts w:cs="Arial"/>
          <w:sz w:val="16"/>
          <w:szCs w:val="16"/>
          <w:lang w:val="fr-FR"/>
        </w:rPr>
      </w:pPr>
      <w:r w:rsidRPr="00892D9B">
        <w:rPr>
          <w:rFonts w:cs="Arial"/>
          <w:sz w:val="16"/>
          <w:szCs w:val="16"/>
          <w:lang w:val="fr-FR"/>
        </w:rPr>
        <w:t xml:space="preserve">Rappel de l’horizon temporel utilisé pour la simulation : </w:t>
      </w:r>
      <w:r w:rsidR="00A85AB6" w:rsidRPr="00892D9B">
        <w:rPr>
          <w:rFonts w:cs="Arial"/>
          <w:sz w:val="16"/>
          <w:szCs w:val="16"/>
          <w:lang w:val="fr-FR"/>
        </w:rPr>
        <w:t>8</w:t>
      </w:r>
      <w:r w:rsidRPr="00892D9B">
        <w:rPr>
          <w:rFonts w:cs="Arial"/>
          <w:sz w:val="16"/>
          <w:szCs w:val="16"/>
          <w:lang w:val="fr-FR"/>
        </w:rPr>
        <w:t xml:space="preserve"> ans.</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10"/>
        <w:gridCol w:w="1134"/>
        <w:gridCol w:w="992"/>
        <w:gridCol w:w="1269"/>
        <w:gridCol w:w="1141"/>
        <w:gridCol w:w="992"/>
        <w:gridCol w:w="1701"/>
      </w:tblGrid>
      <w:tr w:rsidR="00A85AB6" w:rsidRPr="006D2C5A" w:rsidTr="00DC58FD">
        <w:tc>
          <w:tcPr>
            <w:tcW w:w="2410" w:type="dxa"/>
            <w:vAlign w:val="center"/>
          </w:tcPr>
          <w:p w:rsidR="00DC58FD" w:rsidRDefault="00A85AB6" w:rsidP="00E3583D">
            <w:pPr>
              <w:spacing w:before="60" w:after="60"/>
              <w:jc w:val="center"/>
              <w:rPr>
                <w:rFonts w:cs="Arial"/>
                <w:sz w:val="16"/>
                <w:szCs w:val="16"/>
                <w:lang w:val="fr-FR"/>
              </w:rPr>
            </w:pPr>
            <w:r w:rsidRPr="00892D9B">
              <w:rPr>
                <w:rFonts w:cs="Arial"/>
                <w:sz w:val="16"/>
                <w:szCs w:val="16"/>
                <w:lang w:val="fr-FR"/>
              </w:rPr>
              <w:t>SCENARIOS DE PERFORMANCE</w:t>
            </w:r>
          </w:p>
          <w:p w:rsidR="00A85AB6" w:rsidRPr="00892D9B" w:rsidRDefault="00A85AB6" w:rsidP="00E3583D">
            <w:pPr>
              <w:spacing w:before="60" w:after="60"/>
              <w:jc w:val="center"/>
              <w:rPr>
                <w:rFonts w:cs="Arial"/>
                <w:sz w:val="16"/>
                <w:szCs w:val="16"/>
                <w:lang w:val="fr-FR"/>
              </w:rPr>
            </w:pPr>
            <w:r w:rsidRPr="00892D9B">
              <w:rPr>
                <w:rFonts w:cs="Arial"/>
                <w:sz w:val="16"/>
                <w:szCs w:val="16"/>
                <w:lang w:val="fr-FR"/>
              </w:rPr>
              <w:t>(évolution de l’actif du Fonds depuis la souscription, en % de la valeur initiale)</w:t>
            </w:r>
          </w:p>
        </w:tc>
        <w:tc>
          <w:tcPr>
            <w:tcW w:w="7229" w:type="dxa"/>
            <w:gridSpan w:val="6"/>
            <w:vAlign w:val="center"/>
          </w:tcPr>
          <w:p w:rsidR="00A85AB6" w:rsidRPr="00892D9B" w:rsidRDefault="00A85AB6" w:rsidP="00E3583D">
            <w:pPr>
              <w:spacing w:before="60" w:after="60"/>
              <w:jc w:val="center"/>
              <w:rPr>
                <w:rFonts w:cs="Arial"/>
                <w:sz w:val="16"/>
                <w:szCs w:val="16"/>
                <w:lang w:val="fr-FR"/>
              </w:rPr>
            </w:pPr>
            <w:r w:rsidRPr="00892D9B">
              <w:rPr>
                <w:rFonts w:cs="Arial"/>
                <w:sz w:val="16"/>
                <w:szCs w:val="16"/>
                <w:lang w:val="fr-FR"/>
              </w:rPr>
              <w:t>MONTANTS TOTAUX, SUR TOUTE LA DUREE DE VIE DU FONDS</w:t>
            </w:r>
            <w:r w:rsidRPr="00892D9B">
              <w:rPr>
                <w:rFonts w:cs="Arial"/>
                <w:sz w:val="16"/>
                <w:szCs w:val="16"/>
                <w:lang w:val="fr-FR"/>
              </w:rPr>
              <w:br/>
              <w:t>pour une souscription initiale de 1.000 dans le Fonds</w:t>
            </w:r>
            <w:r w:rsidRPr="00892D9B">
              <w:rPr>
                <w:rFonts w:cs="Arial"/>
                <w:sz w:val="16"/>
                <w:szCs w:val="16"/>
                <w:lang w:val="fr-FR"/>
              </w:rPr>
              <w:br/>
            </w:r>
          </w:p>
        </w:tc>
      </w:tr>
      <w:tr w:rsidR="00A85AB6" w:rsidRPr="006D2C5A" w:rsidTr="00DC58FD">
        <w:tc>
          <w:tcPr>
            <w:tcW w:w="2410" w:type="dxa"/>
          </w:tcPr>
          <w:p w:rsidR="00A85AB6" w:rsidRPr="00892D9B" w:rsidRDefault="00A85AB6" w:rsidP="00216ADF">
            <w:pPr>
              <w:spacing w:before="60" w:after="60"/>
              <w:rPr>
                <w:rFonts w:cs="Arial"/>
                <w:sz w:val="16"/>
                <w:szCs w:val="16"/>
                <w:lang w:val="fr-FR"/>
              </w:rPr>
            </w:pPr>
          </w:p>
        </w:tc>
        <w:tc>
          <w:tcPr>
            <w:tcW w:w="1134" w:type="dxa"/>
            <w:tcMar>
              <w:left w:w="57" w:type="dxa"/>
              <w:right w:w="57" w:type="dxa"/>
            </w:tcMar>
          </w:tcPr>
          <w:p w:rsidR="00A85AB6" w:rsidRPr="00892D9B" w:rsidRDefault="00A85AB6" w:rsidP="00450DE3">
            <w:pPr>
              <w:spacing w:before="60" w:after="60"/>
              <w:jc w:val="center"/>
              <w:rPr>
                <w:rFonts w:cs="Arial"/>
                <w:sz w:val="16"/>
                <w:szCs w:val="16"/>
              </w:rPr>
            </w:pPr>
            <w:proofErr w:type="spellStart"/>
            <w:r w:rsidRPr="00892D9B">
              <w:rPr>
                <w:rFonts w:cs="Arial"/>
                <w:sz w:val="16"/>
                <w:szCs w:val="16"/>
              </w:rPr>
              <w:t>Souscription</w:t>
            </w:r>
            <w:proofErr w:type="spellEnd"/>
            <w:r w:rsidRPr="00892D9B">
              <w:rPr>
                <w:rFonts w:cs="Arial"/>
                <w:sz w:val="16"/>
                <w:szCs w:val="16"/>
              </w:rPr>
              <w:t xml:space="preserve"> </w:t>
            </w:r>
            <w:proofErr w:type="spellStart"/>
            <w:r w:rsidRPr="00892D9B">
              <w:rPr>
                <w:rFonts w:cs="Arial"/>
                <w:sz w:val="16"/>
                <w:szCs w:val="16"/>
              </w:rPr>
              <w:t>initiale</w:t>
            </w:r>
            <w:proofErr w:type="spellEnd"/>
            <w:r w:rsidRPr="00892D9B">
              <w:rPr>
                <w:rFonts w:cs="Arial"/>
                <w:sz w:val="16"/>
                <w:szCs w:val="16"/>
              </w:rPr>
              <w:t xml:space="preserve"> </w:t>
            </w:r>
            <w:proofErr w:type="spellStart"/>
            <w:r w:rsidRPr="00892D9B">
              <w:rPr>
                <w:rFonts w:cs="Arial"/>
                <w:sz w:val="16"/>
                <w:szCs w:val="16"/>
              </w:rPr>
              <w:t>totale</w:t>
            </w:r>
            <w:proofErr w:type="spellEnd"/>
          </w:p>
        </w:tc>
        <w:tc>
          <w:tcPr>
            <w:tcW w:w="992" w:type="dxa"/>
            <w:tcMar>
              <w:left w:w="57" w:type="dxa"/>
              <w:right w:w="57" w:type="dxa"/>
            </w:tcMar>
          </w:tcPr>
          <w:p w:rsidR="00A85AB6" w:rsidRPr="00892D9B" w:rsidRDefault="00A85AB6" w:rsidP="00450DE3">
            <w:pPr>
              <w:spacing w:before="60" w:after="60"/>
              <w:jc w:val="center"/>
              <w:rPr>
                <w:rFonts w:cs="Arial"/>
                <w:sz w:val="16"/>
                <w:szCs w:val="16"/>
              </w:rPr>
            </w:pPr>
            <w:proofErr w:type="spellStart"/>
            <w:r w:rsidRPr="00892D9B">
              <w:rPr>
                <w:rFonts w:cs="Arial"/>
                <w:sz w:val="16"/>
                <w:szCs w:val="16"/>
              </w:rPr>
              <w:t>Droits</w:t>
            </w:r>
            <w:proofErr w:type="spellEnd"/>
            <w:r w:rsidRPr="00892D9B">
              <w:rPr>
                <w:rFonts w:cs="Arial"/>
                <w:sz w:val="16"/>
                <w:szCs w:val="16"/>
              </w:rPr>
              <w:t xml:space="preserve"> </w:t>
            </w:r>
            <w:proofErr w:type="spellStart"/>
            <w:r w:rsidRPr="00892D9B">
              <w:rPr>
                <w:rFonts w:cs="Arial"/>
                <w:sz w:val="16"/>
                <w:szCs w:val="16"/>
              </w:rPr>
              <w:t>d’entrée</w:t>
            </w:r>
            <w:proofErr w:type="spellEnd"/>
          </w:p>
        </w:tc>
        <w:tc>
          <w:tcPr>
            <w:tcW w:w="1269" w:type="dxa"/>
            <w:tcMar>
              <w:left w:w="57" w:type="dxa"/>
              <w:right w:w="57" w:type="dxa"/>
            </w:tcMar>
          </w:tcPr>
          <w:p w:rsidR="00A85AB6" w:rsidRPr="00892D9B" w:rsidRDefault="00A85AB6" w:rsidP="00450DE3">
            <w:pPr>
              <w:spacing w:before="60" w:after="60"/>
              <w:jc w:val="center"/>
              <w:rPr>
                <w:rFonts w:cs="Arial"/>
                <w:sz w:val="16"/>
                <w:szCs w:val="16"/>
                <w:lang w:val="fr-FR"/>
              </w:rPr>
            </w:pPr>
            <w:r w:rsidRPr="00892D9B">
              <w:rPr>
                <w:rFonts w:cs="Arial"/>
                <w:sz w:val="16"/>
                <w:szCs w:val="16"/>
                <w:lang w:val="fr-FR"/>
              </w:rPr>
              <w:t>Frais et commissions de gestion et de distribution</w:t>
            </w:r>
          </w:p>
        </w:tc>
        <w:tc>
          <w:tcPr>
            <w:tcW w:w="1141" w:type="dxa"/>
            <w:tcMar>
              <w:left w:w="57" w:type="dxa"/>
              <w:right w:w="57" w:type="dxa"/>
            </w:tcMar>
          </w:tcPr>
          <w:p w:rsidR="00A85AB6" w:rsidRPr="00892D9B" w:rsidRDefault="00A85AB6" w:rsidP="00450DE3">
            <w:pPr>
              <w:spacing w:before="60" w:after="60"/>
              <w:jc w:val="center"/>
              <w:rPr>
                <w:rFonts w:cs="Arial"/>
                <w:sz w:val="16"/>
                <w:szCs w:val="16"/>
                <w:lang w:val="fr-FR"/>
              </w:rPr>
            </w:pPr>
            <w:r w:rsidRPr="00892D9B">
              <w:rPr>
                <w:rFonts w:cs="Arial"/>
                <w:sz w:val="16"/>
                <w:szCs w:val="16"/>
                <w:lang w:val="fr-FR"/>
              </w:rPr>
              <w:t>Frais et commissions de distribution</w:t>
            </w:r>
          </w:p>
        </w:tc>
        <w:tc>
          <w:tcPr>
            <w:tcW w:w="992" w:type="dxa"/>
            <w:tcMar>
              <w:left w:w="57" w:type="dxa"/>
              <w:right w:w="57" w:type="dxa"/>
            </w:tcMar>
          </w:tcPr>
          <w:p w:rsidR="00A85AB6" w:rsidRPr="00892D9B" w:rsidRDefault="00A85AB6" w:rsidP="00450DE3">
            <w:pPr>
              <w:spacing w:before="60" w:after="60"/>
              <w:jc w:val="center"/>
              <w:rPr>
                <w:rFonts w:cs="Arial"/>
                <w:sz w:val="16"/>
                <w:szCs w:val="16"/>
              </w:rPr>
            </w:pPr>
            <w:r w:rsidRPr="00892D9B">
              <w:rPr>
                <w:rFonts w:cs="Arial"/>
                <w:sz w:val="16"/>
                <w:szCs w:val="16"/>
              </w:rPr>
              <w:t>Impact du « Carried Interest »</w:t>
            </w:r>
          </w:p>
        </w:tc>
        <w:tc>
          <w:tcPr>
            <w:tcW w:w="1701" w:type="dxa"/>
            <w:tcMar>
              <w:left w:w="57" w:type="dxa"/>
              <w:right w:w="57" w:type="dxa"/>
            </w:tcMar>
          </w:tcPr>
          <w:p w:rsidR="00A85AB6" w:rsidRPr="00892D9B" w:rsidRDefault="00A85AB6" w:rsidP="00450DE3">
            <w:pPr>
              <w:spacing w:before="60" w:after="60"/>
              <w:jc w:val="center"/>
              <w:rPr>
                <w:rFonts w:cs="Arial"/>
                <w:sz w:val="16"/>
                <w:szCs w:val="16"/>
                <w:lang w:val="fr-FR"/>
              </w:rPr>
            </w:pPr>
            <w:r w:rsidRPr="00892D9B">
              <w:rPr>
                <w:rFonts w:cs="Arial"/>
                <w:sz w:val="16"/>
                <w:szCs w:val="16"/>
                <w:lang w:val="fr-FR"/>
              </w:rPr>
              <w:t>Total des distributions au bénéfice du souscripteur de parts A lors de la liquidation</w:t>
            </w:r>
          </w:p>
        </w:tc>
      </w:tr>
      <w:tr w:rsidR="00A85AB6" w:rsidRPr="00892D9B" w:rsidTr="00DC58FD">
        <w:tc>
          <w:tcPr>
            <w:tcW w:w="2410" w:type="dxa"/>
          </w:tcPr>
          <w:p w:rsidR="00A85AB6" w:rsidRPr="00892D9B" w:rsidRDefault="00A85AB6" w:rsidP="00216ADF">
            <w:pPr>
              <w:spacing w:before="60" w:after="60"/>
              <w:rPr>
                <w:rFonts w:cs="Arial"/>
                <w:sz w:val="16"/>
                <w:szCs w:val="16"/>
              </w:rPr>
            </w:pPr>
            <w:proofErr w:type="spellStart"/>
            <w:r w:rsidRPr="00892D9B">
              <w:rPr>
                <w:rFonts w:cs="Arial"/>
                <w:sz w:val="16"/>
                <w:szCs w:val="16"/>
              </w:rPr>
              <w:t>Scénario</w:t>
            </w:r>
            <w:proofErr w:type="spellEnd"/>
            <w:r w:rsidRPr="00892D9B">
              <w:rPr>
                <w:rFonts w:cs="Arial"/>
                <w:sz w:val="16"/>
                <w:szCs w:val="16"/>
              </w:rPr>
              <w:t xml:space="preserve"> </w:t>
            </w:r>
            <w:proofErr w:type="spellStart"/>
            <w:r w:rsidRPr="00892D9B">
              <w:rPr>
                <w:rFonts w:cs="Arial"/>
                <w:sz w:val="16"/>
                <w:szCs w:val="16"/>
              </w:rPr>
              <w:t>pessimiste</w:t>
            </w:r>
            <w:proofErr w:type="spellEnd"/>
            <w:r w:rsidRPr="00892D9B">
              <w:rPr>
                <w:rFonts w:cs="Arial"/>
                <w:sz w:val="16"/>
                <w:szCs w:val="16"/>
              </w:rPr>
              <w:t> : 50 %</w:t>
            </w:r>
          </w:p>
        </w:tc>
        <w:tc>
          <w:tcPr>
            <w:tcW w:w="1134" w:type="dxa"/>
          </w:tcPr>
          <w:p w:rsidR="00A85AB6" w:rsidRPr="00892D9B" w:rsidRDefault="00A85AB6" w:rsidP="00DC58FD">
            <w:pPr>
              <w:spacing w:before="60" w:after="60"/>
              <w:jc w:val="center"/>
              <w:rPr>
                <w:rFonts w:cs="Arial"/>
                <w:sz w:val="16"/>
                <w:szCs w:val="16"/>
              </w:rPr>
            </w:pPr>
            <w:r w:rsidRPr="00892D9B">
              <w:rPr>
                <w:rFonts w:cs="Arial"/>
                <w:sz w:val="16"/>
                <w:szCs w:val="16"/>
              </w:rPr>
              <w:t>1.000</w:t>
            </w:r>
          </w:p>
        </w:tc>
        <w:tc>
          <w:tcPr>
            <w:tcW w:w="992" w:type="dxa"/>
          </w:tcPr>
          <w:p w:rsidR="00A85AB6" w:rsidRPr="00892D9B" w:rsidRDefault="00A85AB6" w:rsidP="00DC58FD">
            <w:pPr>
              <w:spacing w:before="60" w:after="60"/>
              <w:jc w:val="center"/>
              <w:rPr>
                <w:rFonts w:cs="Arial"/>
                <w:sz w:val="16"/>
                <w:szCs w:val="16"/>
              </w:rPr>
            </w:pPr>
            <w:r w:rsidRPr="00892D9B">
              <w:rPr>
                <w:rFonts w:cs="Arial"/>
                <w:sz w:val="16"/>
                <w:szCs w:val="16"/>
              </w:rPr>
              <w:t>- 40</w:t>
            </w:r>
          </w:p>
        </w:tc>
        <w:tc>
          <w:tcPr>
            <w:tcW w:w="1269" w:type="dxa"/>
          </w:tcPr>
          <w:p w:rsidR="0004295F" w:rsidRDefault="00A85AB6">
            <w:pPr>
              <w:spacing w:before="60" w:after="60"/>
              <w:jc w:val="center"/>
              <w:rPr>
                <w:rFonts w:cs="Arial"/>
                <w:sz w:val="16"/>
                <w:szCs w:val="16"/>
              </w:rPr>
            </w:pPr>
            <w:r w:rsidRPr="00892D9B">
              <w:rPr>
                <w:rFonts w:cs="Arial"/>
                <w:sz w:val="16"/>
                <w:szCs w:val="16"/>
              </w:rPr>
              <w:t xml:space="preserve">- </w:t>
            </w:r>
            <w:r w:rsidR="00B15470">
              <w:rPr>
                <w:rFonts w:cs="Arial"/>
                <w:sz w:val="16"/>
                <w:szCs w:val="16"/>
              </w:rPr>
              <w:t>342</w:t>
            </w:r>
          </w:p>
        </w:tc>
        <w:tc>
          <w:tcPr>
            <w:tcW w:w="1141" w:type="dxa"/>
          </w:tcPr>
          <w:p w:rsidR="00A85AB6" w:rsidRPr="00892D9B" w:rsidRDefault="00A85AB6" w:rsidP="00DC58FD">
            <w:pPr>
              <w:spacing w:before="60" w:after="60"/>
              <w:jc w:val="center"/>
              <w:rPr>
                <w:rFonts w:cs="Arial"/>
                <w:sz w:val="16"/>
                <w:szCs w:val="16"/>
              </w:rPr>
            </w:pPr>
            <w:r w:rsidRPr="00892D9B">
              <w:rPr>
                <w:rFonts w:cs="Arial"/>
                <w:sz w:val="16"/>
                <w:szCs w:val="16"/>
              </w:rPr>
              <w:t>-28</w:t>
            </w:r>
          </w:p>
        </w:tc>
        <w:tc>
          <w:tcPr>
            <w:tcW w:w="992" w:type="dxa"/>
          </w:tcPr>
          <w:p w:rsidR="00A85AB6" w:rsidRPr="00892D9B" w:rsidRDefault="00A85AB6" w:rsidP="00DC58FD">
            <w:pPr>
              <w:spacing w:before="60" w:after="60"/>
              <w:jc w:val="center"/>
              <w:rPr>
                <w:rFonts w:cs="Arial"/>
                <w:sz w:val="16"/>
                <w:szCs w:val="16"/>
              </w:rPr>
            </w:pPr>
            <w:r w:rsidRPr="00892D9B">
              <w:rPr>
                <w:rFonts w:cs="Arial"/>
                <w:sz w:val="16"/>
                <w:szCs w:val="16"/>
              </w:rPr>
              <w:t>0</w:t>
            </w:r>
          </w:p>
        </w:tc>
        <w:tc>
          <w:tcPr>
            <w:tcW w:w="1701" w:type="dxa"/>
          </w:tcPr>
          <w:p w:rsidR="00A85AB6" w:rsidRPr="00892D9B" w:rsidRDefault="00B15470" w:rsidP="00DC58FD">
            <w:pPr>
              <w:spacing w:before="60" w:after="60"/>
              <w:jc w:val="center"/>
              <w:rPr>
                <w:rFonts w:cs="Arial"/>
                <w:sz w:val="16"/>
                <w:szCs w:val="16"/>
              </w:rPr>
            </w:pPr>
            <w:r>
              <w:rPr>
                <w:rFonts w:cs="Arial"/>
                <w:sz w:val="16"/>
                <w:szCs w:val="16"/>
              </w:rPr>
              <w:t>138</w:t>
            </w:r>
          </w:p>
        </w:tc>
      </w:tr>
      <w:tr w:rsidR="00A85AB6" w:rsidRPr="00892D9B" w:rsidTr="00DC58FD">
        <w:tc>
          <w:tcPr>
            <w:tcW w:w="2410" w:type="dxa"/>
          </w:tcPr>
          <w:p w:rsidR="00A85AB6" w:rsidRPr="00892D9B" w:rsidRDefault="00A85AB6" w:rsidP="00216ADF">
            <w:pPr>
              <w:spacing w:before="60" w:after="60"/>
              <w:rPr>
                <w:rFonts w:cs="Arial"/>
                <w:sz w:val="16"/>
                <w:szCs w:val="16"/>
              </w:rPr>
            </w:pPr>
            <w:proofErr w:type="spellStart"/>
            <w:r w:rsidRPr="00892D9B">
              <w:rPr>
                <w:rFonts w:cs="Arial"/>
                <w:sz w:val="16"/>
                <w:szCs w:val="16"/>
              </w:rPr>
              <w:t>Scénario</w:t>
            </w:r>
            <w:proofErr w:type="spellEnd"/>
            <w:r w:rsidRPr="00892D9B">
              <w:rPr>
                <w:rFonts w:cs="Arial"/>
                <w:sz w:val="16"/>
                <w:szCs w:val="16"/>
              </w:rPr>
              <w:t xml:space="preserve"> </w:t>
            </w:r>
            <w:proofErr w:type="spellStart"/>
            <w:r w:rsidRPr="00892D9B">
              <w:rPr>
                <w:rFonts w:cs="Arial"/>
                <w:sz w:val="16"/>
                <w:szCs w:val="16"/>
              </w:rPr>
              <w:t>moyen</w:t>
            </w:r>
            <w:proofErr w:type="spellEnd"/>
            <w:r w:rsidRPr="00892D9B">
              <w:rPr>
                <w:rFonts w:cs="Arial"/>
                <w:sz w:val="16"/>
                <w:szCs w:val="16"/>
              </w:rPr>
              <w:t> : 150 %</w:t>
            </w:r>
          </w:p>
        </w:tc>
        <w:tc>
          <w:tcPr>
            <w:tcW w:w="1134" w:type="dxa"/>
          </w:tcPr>
          <w:p w:rsidR="00A85AB6" w:rsidRPr="00892D9B" w:rsidRDefault="00A85AB6" w:rsidP="00DC58FD">
            <w:pPr>
              <w:spacing w:before="60" w:after="60"/>
              <w:jc w:val="center"/>
              <w:rPr>
                <w:rFonts w:cs="Arial"/>
                <w:sz w:val="16"/>
                <w:szCs w:val="16"/>
              </w:rPr>
            </w:pPr>
            <w:r w:rsidRPr="00892D9B">
              <w:rPr>
                <w:rFonts w:cs="Arial"/>
                <w:sz w:val="16"/>
                <w:szCs w:val="16"/>
              </w:rPr>
              <w:t>1.000</w:t>
            </w:r>
          </w:p>
        </w:tc>
        <w:tc>
          <w:tcPr>
            <w:tcW w:w="992" w:type="dxa"/>
          </w:tcPr>
          <w:p w:rsidR="00A85AB6" w:rsidRPr="00892D9B" w:rsidRDefault="00A85AB6" w:rsidP="00DC58FD">
            <w:pPr>
              <w:spacing w:before="60" w:after="60"/>
              <w:jc w:val="center"/>
              <w:rPr>
                <w:rFonts w:cs="Arial"/>
                <w:sz w:val="16"/>
                <w:szCs w:val="16"/>
              </w:rPr>
            </w:pPr>
            <w:r w:rsidRPr="00892D9B">
              <w:rPr>
                <w:rFonts w:cs="Arial"/>
                <w:sz w:val="16"/>
                <w:szCs w:val="16"/>
              </w:rPr>
              <w:t>- 40</w:t>
            </w:r>
          </w:p>
        </w:tc>
        <w:tc>
          <w:tcPr>
            <w:tcW w:w="1269" w:type="dxa"/>
          </w:tcPr>
          <w:p w:rsidR="0004295F" w:rsidRDefault="00A85AB6">
            <w:pPr>
              <w:spacing w:before="60" w:after="60"/>
              <w:jc w:val="center"/>
              <w:rPr>
                <w:rFonts w:cs="Arial"/>
                <w:sz w:val="16"/>
                <w:szCs w:val="16"/>
              </w:rPr>
            </w:pPr>
            <w:r w:rsidRPr="00892D9B">
              <w:rPr>
                <w:rFonts w:cs="Arial"/>
                <w:sz w:val="16"/>
                <w:szCs w:val="16"/>
              </w:rPr>
              <w:t xml:space="preserve">- </w:t>
            </w:r>
            <w:r w:rsidR="00B15470">
              <w:rPr>
                <w:rFonts w:cs="Arial"/>
                <w:sz w:val="16"/>
                <w:szCs w:val="16"/>
              </w:rPr>
              <w:t>342</w:t>
            </w:r>
          </w:p>
        </w:tc>
        <w:tc>
          <w:tcPr>
            <w:tcW w:w="1141" w:type="dxa"/>
          </w:tcPr>
          <w:p w:rsidR="00A85AB6" w:rsidRPr="00892D9B" w:rsidRDefault="00A85AB6" w:rsidP="00DC58FD">
            <w:pPr>
              <w:spacing w:before="60" w:after="60"/>
              <w:jc w:val="center"/>
              <w:rPr>
                <w:rFonts w:cs="Arial"/>
                <w:sz w:val="16"/>
                <w:szCs w:val="16"/>
              </w:rPr>
            </w:pPr>
            <w:r w:rsidRPr="00892D9B">
              <w:rPr>
                <w:rFonts w:cs="Arial"/>
                <w:sz w:val="16"/>
                <w:szCs w:val="16"/>
              </w:rPr>
              <w:t>- 28</w:t>
            </w:r>
          </w:p>
        </w:tc>
        <w:tc>
          <w:tcPr>
            <w:tcW w:w="992" w:type="dxa"/>
          </w:tcPr>
          <w:p w:rsidR="0004295F" w:rsidRDefault="00A85AB6">
            <w:pPr>
              <w:spacing w:before="60" w:after="60"/>
              <w:jc w:val="center"/>
              <w:rPr>
                <w:rFonts w:cs="Arial"/>
                <w:sz w:val="16"/>
                <w:szCs w:val="16"/>
              </w:rPr>
            </w:pPr>
            <w:r w:rsidRPr="00892D9B">
              <w:rPr>
                <w:rFonts w:cs="Arial"/>
                <w:sz w:val="16"/>
                <w:szCs w:val="16"/>
              </w:rPr>
              <w:t xml:space="preserve">- </w:t>
            </w:r>
            <w:r w:rsidR="00B15470">
              <w:rPr>
                <w:rFonts w:cs="Arial"/>
                <w:sz w:val="16"/>
                <w:szCs w:val="16"/>
              </w:rPr>
              <w:t>28</w:t>
            </w:r>
          </w:p>
        </w:tc>
        <w:tc>
          <w:tcPr>
            <w:tcW w:w="1701" w:type="dxa"/>
          </w:tcPr>
          <w:p w:rsidR="00A85AB6" w:rsidRPr="00892D9B" w:rsidRDefault="00B15470" w:rsidP="00DC58FD">
            <w:pPr>
              <w:spacing w:before="60" w:after="60"/>
              <w:jc w:val="center"/>
              <w:rPr>
                <w:rFonts w:cs="Arial"/>
                <w:sz w:val="16"/>
                <w:szCs w:val="16"/>
              </w:rPr>
            </w:pPr>
            <w:r>
              <w:rPr>
                <w:rFonts w:cs="Arial"/>
                <w:sz w:val="16"/>
                <w:szCs w:val="16"/>
              </w:rPr>
              <w:t>1.098</w:t>
            </w:r>
          </w:p>
        </w:tc>
      </w:tr>
      <w:tr w:rsidR="00A85AB6" w:rsidRPr="00892D9B" w:rsidTr="00DC58FD">
        <w:tc>
          <w:tcPr>
            <w:tcW w:w="2410" w:type="dxa"/>
          </w:tcPr>
          <w:p w:rsidR="00A85AB6" w:rsidRPr="00892D9B" w:rsidRDefault="00A85AB6" w:rsidP="00216ADF">
            <w:pPr>
              <w:spacing w:before="60" w:after="60"/>
              <w:rPr>
                <w:rFonts w:cs="Arial"/>
                <w:sz w:val="16"/>
                <w:szCs w:val="16"/>
              </w:rPr>
            </w:pPr>
            <w:proofErr w:type="spellStart"/>
            <w:r w:rsidRPr="00892D9B">
              <w:rPr>
                <w:rFonts w:cs="Arial"/>
                <w:sz w:val="16"/>
                <w:szCs w:val="16"/>
              </w:rPr>
              <w:t>Scénario</w:t>
            </w:r>
            <w:proofErr w:type="spellEnd"/>
            <w:r w:rsidRPr="00892D9B">
              <w:rPr>
                <w:rFonts w:cs="Arial"/>
                <w:sz w:val="16"/>
                <w:szCs w:val="16"/>
              </w:rPr>
              <w:t xml:space="preserve"> </w:t>
            </w:r>
            <w:proofErr w:type="spellStart"/>
            <w:r w:rsidRPr="00892D9B">
              <w:rPr>
                <w:rFonts w:cs="Arial"/>
                <w:sz w:val="16"/>
                <w:szCs w:val="16"/>
              </w:rPr>
              <w:t>optimiste</w:t>
            </w:r>
            <w:proofErr w:type="spellEnd"/>
            <w:r w:rsidRPr="00892D9B">
              <w:rPr>
                <w:rFonts w:cs="Arial"/>
                <w:sz w:val="16"/>
                <w:szCs w:val="16"/>
              </w:rPr>
              <w:t> : 250 %</w:t>
            </w:r>
          </w:p>
        </w:tc>
        <w:tc>
          <w:tcPr>
            <w:tcW w:w="1134" w:type="dxa"/>
          </w:tcPr>
          <w:p w:rsidR="00A85AB6" w:rsidRPr="00892D9B" w:rsidRDefault="00A85AB6" w:rsidP="00DC58FD">
            <w:pPr>
              <w:spacing w:before="60" w:after="60"/>
              <w:jc w:val="center"/>
              <w:rPr>
                <w:rFonts w:cs="Arial"/>
                <w:sz w:val="16"/>
                <w:szCs w:val="16"/>
              </w:rPr>
            </w:pPr>
            <w:r w:rsidRPr="00892D9B">
              <w:rPr>
                <w:rFonts w:cs="Arial"/>
                <w:sz w:val="16"/>
                <w:szCs w:val="16"/>
              </w:rPr>
              <w:t>1.000</w:t>
            </w:r>
          </w:p>
        </w:tc>
        <w:tc>
          <w:tcPr>
            <w:tcW w:w="992" w:type="dxa"/>
          </w:tcPr>
          <w:p w:rsidR="00A85AB6" w:rsidRPr="00892D9B" w:rsidRDefault="00A85AB6" w:rsidP="00DC58FD">
            <w:pPr>
              <w:spacing w:before="60" w:after="60"/>
              <w:jc w:val="center"/>
              <w:rPr>
                <w:rFonts w:cs="Arial"/>
                <w:sz w:val="16"/>
                <w:szCs w:val="16"/>
              </w:rPr>
            </w:pPr>
            <w:r w:rsidRPr="00892D9B">
              <w:rPr>
                <w:rFonts w:cs="Arial"/>
                <w:sz w:val="16"/>
                <w:szCs w:val="16"/>
              </w:rPr>
              <w:t>- 40</w:t>
            </w:r>
          </w:p>
        </w:tc>
        <w:tc>
          <w:tcPr>
            <w:tcW w:w="1269" w:type="dxa"/>
          </w:tcPr>
          <w:p w:rsidR="0004295F" w:rsidRDefault="00A85AB6">
            <w:pPr>
              <w:spacing w:before="60" w:after="60"/>
              <w:jc w:val="center"/>
              <w:rPr>
                <w:rFonts w:cs="Arial"/>
                <w:sz w:val="16"/>
                <w:szCs w:val="16"/>
              </w:rPr>
            </w:pPr>
            <w:r w:rsidRPr="00892D9B">
              <w:rPr>
                <w:rFonts w:cs="Arial"/>
                <w:sz w:val="16"/>
                <w:szCs w:val="16"/>
              </w:rPr>
              <w:t xml:space="preserve">- </w:t>
            </w:r>
            <w:r w:rsidR="00B15470">
              <w:rPr>
                <w:rFonts w:cs="Arial"/>
                <w:sz w:val="16"/>
                <w:szCs w:val="16"/>
              </w:rPr>
              <w:t>342</w:t>
            </w:r>
          </w:p>
        </w:tc>
        <w:tc>
          <w:tcPr>
            <w:tcW w:w="1141" w:type="dxa"/>
          </w:tcPr>
          <w:p w:rsidR="00A85AB6" w:rsidRPr="00892D9B" w:rsidRDefault="00A85AB6" w:rsidP="00DC58FD">
            <w:pPr>
              <w:spacing w:before="60" w:after="60"/>
              <w:jc w:val="center"/>
              <w:rPr>
                <w:rFonts w:cs="Arial"/>
                <w:sz w:val="16"/>
                <w:szCs w:val="16"/>
              </w:rPr>
            </w:pPr>
            <w:r w:rsidRPr="00892D9B">
              <w:rPr>
                <w:rFonts w:cs="Arial"/>
                <w:sz w:val="16"/>
                <w:szCs w:val="16"/>
              </w:rPr>
              <w:t>- 28</w:t>
            </w:r>
          </w:p>
        </w:tc>
        <w:tc>
          <w:tcPr>
            <w:tcW w:w="992" w:type="dxa"/>
          </w:tcPr>
          <w:p w:rsidR="0004295F" w:rsidRDefault="00A85AB6">
            <w:pPr>
              <w:spacing w:before="60" w:after="60"/>
              <w:jc w:val="center"/>
              <w:rPr>
                <w:rFonts w:cs="Arial"/>
                <w:sz w:val="16"/>
                <w:szCs w:val="16"/>
              </w:rPr>
            </w:pPr>
            <w:r w:rsidRPr="00892D9B">
              <w:rPr>
                <w:rFonts w:cs="Arial"/>
                <w:sz w:val="16"/>
                <w:szCs w:val="16"/>
              </w:rPr>
              <w:t xml:space="preserve">- </w:t>
            </w:r>
            <w:r w:rsidR="00B15470">
              <w:rPr>
                <w:rFonts w:cs="Arial"/>
                <w:sz w:val="16"/>
                <w:szCs w:val="16"/>
              </w:rPr>
              <w:t>220</w:t>
            </w:r>
          </w:p>
        </w:tc>
        <w:tc>
          <w:tcPr>
            <w:tcW w:w="1701" w:type="dxa"/>
          </w:tcPr>
          <w:p w:rsidR="00A85AB6" w:rsidRPr="00892D9B" w:rsidRDefault="00FE4EFC" w:rsidP="00DC58FD">
            <w:pPr>
              <w:spacing w:before="60" w:after="60"/>
              <w:jc w:val="center"/>
              <w:rPr>
                <w:rFonts w:cs="Arial"/>
                <w:sz w:val="16"/>
                <w:szCs w:val="16"/>
              </w:rPr>
            </w:pPr>
            <w:r>
              <w:rPr>
                <w:rFonts w:cs="Arial"/>
                <w:sz w:val="16"/>
                <w:szCs w:val="16"/>
              </w:rPr>
              <w:t>1.838</w:t>
            </w:r>
          </w:p>
        </w:tc>
      </w:tr>
    </w:tbl>
    <w:p w:rsidR="00011083" w:rsidRPr="00892D9B" w:rsidRDefault="00011083" w:rsidP="002B09E9">
      <w:pPr>
        <w:keepNext w:val="0"/>
        <w:keepLines w:val="0"/>
        <w:widowControl w:val="0"/>
        <w:spacing w:after="240"/>
        <w:rPr>
          <w:rFonts w:cs="Arial"/>
          <w:sz w:val="16"/>
          <w:szCs w:val="16"/>
          <w:lang w:val="fr-FR"/>
        </w:rPr>
      </w:pPr>
      <w:r w:rsidRPr="00892D9B">
        <w:rPr>
          <w:rFonts w:cs="Arial"/>
          <w:sz w:val="16"/>
          <w:szCs w:val="16"/>
          <w:lang w:val="fr-FR"/>
        </w:rPr>
        <w:t>Attention, les scénarios ne sont donnés qu’à titre indicatif et leur présentation ne constitue en aucun cas une garantie sur leur réalisation effective. Ils résultent d’une simulation réalisée selon les normes réglementaires prévues à l’article 6 de l’arrêté du 2 novembre 2010 pris pour l’application du décret n° 2010-1311 du 2 novembre 2010 relatif à l’encadrement et à la transparence des frais et commissions prélevés directement ou indirectement par les fonds et sociétés mentionnés à l’article 885-0 V bis du code général des impôts.</w:t>
      </w:r>
    </w:p>
    <w:p w:rsidR="00011083" w:rsidRPr="00892D9B" w:rsidRDefault="00011083" w:rsidP="002B09E9">
      <w:pPr>
        <w:keepNext w:val="0"/>
        <w:keepLines w:val="0"/>
        <w:widowControl w:val="0"/>
        <w:rPr>
          <w:rFonts w:cs="Arial"/>
          <w:color w:val="000000"/>
          <w:sz w:val="16"/>
          <w:szCs w:val="16"/>
          <w:lang w:val="fr-FR"/>
        </w:rPr>
      </w:pPr>
      <w:r w:rsidRPr="00892D9B">
        <w:rPr>
          <w:rFonts w:cs="Arial"/>
          <w:color w:val="000000"/>
          <w:sz w:val="16"/>
          <w:szCs w:val="16"/>
          <w:lang w:val="fr-FR"/>
        </w:rPr>
        <w:t>Pour plus d’information sur les frais, veuillez vous reporter aux pages 23 à 2</w:t>
      </w:r>
      <w:r w:rsidR="00181C17" w:rsidRPr="00892D9B">
        <w:rPr>
          <w:rFonts w:cs="Arial"/>
          <w:color w:val="000000"/>
          <w:sz w:val="16"/>
          <w:szCs w:val="16"/>
          <w:lang w:val="fr-FR"/>
        </w:rPr>
        <w:t>7</w:t>
      </w:r>
      <w:r w:rsidRPr="00892D9B">
        <w:rPr>
          <w:rFonts w:cs="Arial"/>
          <w:color w:val="000000"/>
          <w:sz w:val="16"/>
          <w:szCs w:val="16"/>
          <w:lang w:val="fr-FR"/>
        </w:rPr>
        <w:t xml:space="preserve"> du règlement du Fonds, disponible </w:t>
      </w:r>
      <w:r w:rsidR="0092669F" w:rsidRPr="00892D9B">
        <w:rPr>
          <w:rFonts w:cs="Arial"/>
          <w:color w:val="000000"/>
          <w:sz w:val="16"/>
          <w:szCs w:val="16"/>
          <w:lang w:val="fr-FR"/>
        </w:rPr>
        <w:t>auprès des</w:t>
      </w:r>
      <w:r w:rsidR="00564921" w:rsidRPr="00892D9B">
        <w:rPr>
          <w:rFonts w:cs="Arial"/>
          <w:color w:val="000000"/>
          <w:sz w:val="16"/>
          <w:szCs w:val="16"/>
          <w:lang w:val="fr-FR"/>
        </w:rPr>
        <w:t xml:space="preserve"> </w:t>
      </w:r>
      <w:r w:rsidR="002E7AE3" w:rsidRPr="00892D9B">
        <w:rPr>
          <w:rFonts w:cs="Arial"/>
          <w:color w:val="000000"/>
          <w:sz w:val="16"/>
          <w:szCs w:val="16"/>
          <w:lang w:val="fr-FR"/>
        </w:rPr>
        <w:t xml:space="preserve">établissements </w:t>
      </w:r>
      <w:r w:rsidR="00564921" w:rsidRPr="00892D9B">
        <w:rPr>
          <w:rFonts w:cs="Arial"/>
          <w:color w:val="000000"/>
          <w:sz w:val="16"/>
          <w:szCs w:val="16"/>
          <w:lang w:val="fr-FR"/>
        </w:rPr>
        <w:t>distributeurs</w:t>
      </w:r>
      <w:r w:rsidR="002E7AE3" w:rsidRPr="00892D9B">
        <w:rPr>
          <w:rFonts w:cs="Arial"/>
          <w:color w:val="000000"/>
          <w:sz w:val="16"/>
          <w:szCs w:val="16"/>
          <w:lang w:val="fr-FR"/>
        </w:rPr>
        <w:t xml:space="preserve"> du Fonds</w:t>
      </w:r>
      <w:r w:rsidR="0056335B" w:rsidRPr="00892D9B">
        <w:rPr>
          <w:rFonts w:cs="Arial"/>
          <w:color w:val="000000"/>
          <w:sz w:val="16"/>
          <w:szCs w:val="16"/>
          <w:lang w:val="fr-FR"/>
        </w:rPr>
        <w:t xml:space="preserve"> ou sur simple demande</w:t>
      </w:r>
      <w:r w:rsidRPr="00892D9B">
        <w:rPr>
          <w:rFonts w:cs="Arial"/>
          <w:color w:val="000000"/>
          <w:sz w:val="16"/>
          <w:szCs w:val="16"/>
          <w:lang w:val="fr-FR"/>
        </w:rPr>
        <w:t>.</w:t>
      </w:r>
    </w:p>
    <w:p w:rsidR="00570A0A" w:rsidRDefault="00570A0A" w:rsidP="002B09E9">
      <w:pPr>
        <w:keepNext w:val="0"/>
        <w:keepLines w:val="0"/>
        <w:widowControl w:val="0"/>
        <w:rPr>
          <w:color w:val="000000"/>
          <w:szCs w:val="20"/>
          <w:lang w:val="fr-FR"/>
        </w:rPr>
      </w:pPr>
    </w:p>
    <w:p w:rsidR="00011083" w:rsidRPr="00892D9B" w:rsidRDefault="00E9284D" w:rsidP="002B09E9">
      <w:pPr>
        <w:keepNext w:val="0"/>
        <w:keepLines w:val="0"/>
        <w:widowControl w:val="0"/>
        <w:rPr>
          <w:b/>
          <w:i/>
          <w:color w:val="000000"/>
          <w:szCs w:val="20"/>
          <w:lang w:val="fr-FR"/>
        </w:rPr>
      </w:pPr>
      <w:r>
        <w:rPr>
          <w:b/>
          <w:i/>
          <w:color w:val="000000"/>
          <w:szCs w:val="20"/>
          <w:lang w:val="fr-FR"/>
        </w:rPr>
        <w:t>4</w:t>
      </w:r>
      <w:r w:rsidR="009E4199" w:rsidRPr="009E4199">
        <w:rPr>
          <w:b/>
          <w:i/>
          <w:color w:val="000000"/>
          <w:szCs w:val="20"/>
          <w:lang w:val="fr-FR"/>
        </w:rPr>
        <w:t>° - Informations pratiques</w:t>
      </w:r>
    </w:p>
    <w:tbl>
      <w:tblPr>
        <w:tblStyle w:val="Grilledutableau"/>
        <w:tblW w:w="0" w:type="auto"/>
        <w:tblLook w:val="04A0"/>
      </w:tblPr>
      <w:tblGrid>
        <w:gridCol w:w="1407"/>
        <w:gridCol w:w="1407"/>
        <w:gridCol w:w="1407"/>
        <w:gridCol w:w="1408"/>
        <w:gridCol w:w="1408"/>
        <w:gridCol w:w="1408"/>
        <w:gridCol w:w="1409"/>
      </w:tblGrid>
      <w:tr w:rsidR="00011083" w:rsidRPr="00892D9B" w:rsidTr="00216ADF">
        <w:tc>
          <w:tcPr>
            <w:tcW w:w="1515" w:type="dxa"/>
          </w:tcPr>
          <w:p w:rsidR="00011083" w:rsidRPr="00892D9B" w:rsidRDefault="00011083" w:rsidP="002B09E9">
            <w:pPr>
              <w:keepNext w:val="0"/>
              <w:keepLines w:val="0"/>
              <w:widowControl w:val="0"/>
              <w:rPr>
                <w:color w:val="000000"/>
                <w:szCs w:val="20"/>
                <w:lang w:val="fr-FR"/>
              </w:rPr>
            </w:pPr>
          </w:p>
        </w:tc>
        <w:tc>
          <w:tcPr>
            <w:tcW w:w="1515" w:type="dxa"/>
          </w:tcPr>
          <w:p w:rsidR="00011083" w:rsidRPr="00892D9B" w:rsidRDefault="00011083" w:rsidP="002B09E9">
            <w:pPr>
              <w:keepNext w:val="0"/>
              <w:keepLines w:val="0"/>
              <w:widowControl w:val="0"/>
              <w:rPr>
                <w:color w:val="000000"/>
                <w:szCs w:val="20"/>
                <w:lang w:val="fr-FR"/>
              </w:rPr>
            </w:pPr>
          </w:p>
        </w:tc>
        <w:tc>
          <w:tcPr>
            <w:tcW w:w="1515" w:type="dxa"/>
          </w:tcPr>
          <w:p w:rsidR="00011083" w:rsidRPr="00892D9B" w:rsidRDefault="00011083" w:rsidP="002B09E9">
            <w:pPr>
              <w:keepNext w:val="0"/>
              <w:keepLines w:val="0"/>
              <w:widowControl w:val="0"/>
              <w:rPr>
                <w:color w:val="000000"/>
                <w:szCs w:val="20"/>
                <w:lang w:val="fr-FR"/>
              </w:rPr>
            </w:pPr>
          </w:p>
        </w:tc>
        <w:tc>
          <w:tcPr>
            <w:tcW w:w="1515" w:type="dxa"/>
          </w:tcPr>
          <w:p w:rsidR="00011083" w:rsidRPr="00892D9B" w:rsidRDefault="00011083" w:rsidP="002B09E9">
            <w:pPr>
              <w:keepNext w:val="0"/>
              <w:keepLines w:val="0"/>
              <w:widowControl w:val="0"/>
              <w:rPr>
                <w:color w:val="000000"/>
                <w:szCs w:val="20"/>
                <w:lang w:val="fr-FR"/>
              </w:rPr>
            </w:pPr>
          </w:p>
        </w:tc>
        <w:tc>
          <w:tcPr>
            <w:tcW w:w="1515" w:type="dxa"/>
          </w:tcPr>
          <w:p w:rsidR="00011083" w:rsidRPr="00892D9B" w:rsidRDefault="00011083" w:rsidP="002B09E9">
            <w:pPr>
              <w:keepNext w:val="0"/>
              <w:keepLines w:val="0"/>
              <w:widowControl w:val="0"/>
              <w:rPr>
                <w:color w:val="000000"/>
                <w:szCs w:val="20"/>
                <w:lang w:val="fr-FR"/>
              </w:rPr>
            </w:pPr>
          </w:p>
        </w:tc>
        <w:tc>
          <w:tcPr>
            <w:tcW w:w="1515" w:type="dxa"/>
          </w:tcPr>
          <w:p w:rsidR="00011083" w:rsidRPr="00892D9B" w:rsidRDefault="00011083" w:rsidP="002B09E9">
            <w:pPr>
              <w:keepNext w:val="0"/>
              <w:keepLines w:val="0"/>
              <w:widowControl w:val="0"/>
              <w:rPr>
                <w:color w:val="000000"/>
                <w:szCs w:val="20"/>
                <w:lang w:val="fr-FR"/>
              </w:rPr>
            </w:pPr>
          </w:p>
        </w:tc>
        <w:tc>
          <w:tcPr>
            <w:tcW w:w="1516" w:type="dxa"/>
          </w:tcPr>
          <w:p w:rsidR="00011083" w:rsidRPr="00892D9B" w:rsidRDefault="00011083" w:rsidP="002B09E9">
            <w:pPr>
              <w:keepNext w:val="0"/>
              <w:keepLines w:val="0"/>
              <w:widowControl w:val="0"/>
              <w:rPr>
                <w:color w:val="000000"/>
                <w:szCs w:val="20"/>
                <w:lang w:val="fr-FR"/>
              </w:rPr>
            </w:pPr>
          </w:p>
        </w:tc>
      </w:tr>
    </w:tbl>
    <w:p w:rsidR="00011083" w:rsidRPr="00892D9B" w:rsidRDefault="00011083" w:rsidP="002B09E9">
      <w:pPr>
        <w:keepNext w:val="0"/>
        <w:keepLines w:val="0"/>
        <w:widowControl w:val="0"/>
        <w:rPr>
          <w:i/>
          <w:color w:val="000000"/>
          <w:sz w:val="16"/>
          <w:szCs w:val="16"/>
          <w:u w:val="single"/>
          <w:lang w:val="fr-FR"/>
        </w:rPr>
      </w:pPr>
      <w:r w:rsidRPr="00892D9B">
        <w:rPr>
          <w:i/>
          <w:color w:val="000000"/>
          <w:sz w:val="16"/>
          <w:szCs w:val="16"/>
          <w:u w:val="single"/>
          <w:lang w:val="fr-FR"/>
        </w:rPr>
        <w:t xml:space="preserve">Nom du dépositaire : </w:t>
      </w:r>
    </w:p>
    <w:p w:rsidR="00011083" w:rsidRPr="00892D9B" w:rsidRDefault="00011083" w:rsidP="002B09E9">
      <w:pPr>
        <w:keepNext w:val="0"/>
        <w:keepLines w:val="0"/>
        <w:widowControl w:val="0"/>
        <w:rPr>
          <w:b/>
          <w:bCs/>
          <w:sz w:val="16"/>
          <w:szCs w:val="16"/>
          <w:lang w:val="fr-FR"/>
        </w:rPr>
      </w:pPr>
    </w:p>
    <w:p w:rsidR="00011083" w:rsidRPr="00892D9B" w:rsidRDefault="00011083" w:rsidP="002B09E9">
      <w:pPr>
        <w:keepNext w:val="0"/>
        <w:keepLines w:val="0"/>
        <w:widowControl w:val="0"/>
        <w:rPr>
          <w:sz w:val="16"/>
          <w:szCs w:val="16"/>
          <w:lang w:val="fr-FR"/>
        </w:rPr>
      </w:pPr>
      <w:r w:rsidRPr="00892D9B">
        <w:rPr>
          <w:b/>
          <w:bCs/>
          <w:sz w:val="16"/>
          <w:szCs w:val="16"/>
          <w:lang w:val="fr-FR"/>
        </w:rPr>
        <w:t>CACEIS BANK</w:t>
      </w:r>
      <w:r w:rsidR="00C53305">
        <w:rPr>
          <w:b/>
          <w:bCs/>
          <w:sz w:val="16"/>
          <w:szCs w:val="16"/>
          <w:lang w:val="fr-FR"/>
        </w:rPr>
        <w:t xml:space="preserve"> France</w:t>
      </w:r>
      <w:r w:rsidRPr="00892D9B">
        <w:rPr>
          <w:b/>
          <w:bCs/>
          <w:sz w:val="16"/>
          <w:szCs w:val="16"/>
          <w:lang w:val="fr-FR"/>
        </w:rPr>
        <w:t xml:space="preserve">, </w:t>
      </w:r>
      <w:r w:rsidRPr="00892D9B">
        <w:rPr>
          <w:sz w:val="16"/>
          <w:szCs w:val="16"/>
          <w:lang w:val="fr-FR"/>
        </w:rPr>
        <w:t xml:space="preserve">société anonyme à conseil d’administration au capital de 230.000.000 €, dont le siège social est à Paris (75013) – 1-3 </w:t>
      </w:r>
      <w:proofErr w:type="gramStart"/>
      <w:r w:rsidRPr="00892D9B">
        <w:rPr>
          <w:sz w:val="16"/>
          <w:szCs w:val="16"/>
          <w:lang w:val="fr-FR"/>
        </w:rPr>
        <w:t>place</w:t>
      </w:r>
      <w:proofErr w:type="gramEnd"/>
      <w:r w:rsidRPr="00892D9B">
        <w:rPr>
          <w:sz w:val="16"/>
          <w:szCs w:val="16"/>
          <w:lang w:val="fr-FR"/>
        </w:rPr>
        <w:t xml:space="preserve"> </w:t>
      </w:r>
      <w:proofErr w:type="spellStart"/>
      <w:r w:rsidRPr="00892D9B">
        <w:rPr>
          <w:sz w:val="16"/>
          <w:szCs w:val="16"/>
          <w:lang w:val="fr-FR"/>
        </w:rPr>
        <w:t>Valhubert</w:t>
      </w:r>
      <w:proofErr w:type="spellEnd"/>
      <w:r w:rsidRPr="00892D9B">
        <w:rPr>
          <w:sz w:val="16"/>
          <w:szCs w:val="16"/>
          <w:lang w:val="fr-FR"/>
        </w:rPr>
        <w:t xml:space="preserve"> et dont le numéro unique d’identification est 692 024 722 RCS PARIS</w:t>
      </w:r>
    </w:p>
    <w:p w:rsidR="00011083" w:rsidRPr="00892D9B" w:rsidRDefault="00011083" w:rsidP="002B09E9">
      <w:pPr>
        <w:keepNext w:val="0"/>
        <w:keepLines w:val="0"/>
        <w:widowControl w:val="0"/>
        <w:rPr>
          <w:color w:val="000000"/>
          <w:sz w:val="16"/>
          <w:szCs w:val="16"/>
          <w:lang w:val="fr-FR"/>
        </w:rPr>
      </w:pPr>
    </w:p>
    <w:p w:rsidR="00011083" w:rsidRPr="00892D9B" w:rsidRDefault="00011083" w:rsidP="002B09E9">
      <w:pPr>
        <w:keepNext w:val="0"/>
        <w:keepLines w:val="0"/>
        <w:widowControl w:val="0"/>
        <w:rPr>
          <w:i/>
          <w:color w:val="000000"/>
          <w:sz w:val="16"/>
          <w:szCs w:val="16"/>
          <w:u w:val="single"/>
          <w:lang w:val="fr-FR"/>
        </w:rPr>
      </w:pPr>
      <w:r w:rsidRPr="00892D9B">
        <w:rPr>
          <w:i/>
          <w:color w:val="000000"/>
          <w:sz w:val="16"/>
          <w:szCs w:val="16"/>
          <w:u w:val="single"/>
          <w:lang w:val="fr-FR"/>
        </w:rPr>
        <w:t>Lieu et modalités d’obtention d’information sur le Fonds :</w:t>
      </w:r>
    </w:p>
    <w:p w:rsidR="002E7AE3" w:rsidRPr="00892D9B" w:rsidRDefault="002E7AE3" w:rsidP="002B09E9">
      <w:pPr>
        <w:keepNext w:val="0"/>
        <w:keepLines w:val="0"/>
        <w:widowControl w:val="0"/>
        <w:rPr>
          <w:color w:val="000000"/>
          <w:sz w:val="16"/>
          <w:szCs w:val="16"/>
          <w:lang w:val="fr-FR"/>
        </w:rPr>
      </w:pPr>
    </w:p>
    <w:p w:rsidR="004A4FCA" w:rsidRDefault="00011083" w:rsidP="00E3583D">
      <w:pPr>
        <w:keepNext w:val="0"/>
        <w:keepLines w:val="0"/>
        <w:widowControl w:val="0"/>
        <w:spacing w:after="120"/>
        <w:rPr>
          <w:sz w:val="16"/>
          <w:szCs w:val="16"/>
          <w:lang w:val="fr-FR"/>
        </w:rPr>
      </w:pPr>
      <w:r w:rsidRPr="00892D9B">
        <w:rPr>
          <w:sz w:val="16"/>
          <w:szCs w:val="16"/>
          <w:lang w:val="fr-FR"/>
        </w:rPr>
        <w:t xml:space="preserve">Le prospectus complet comprenant le document d’informations clés et le règlement, le dernier rapport annuel et la dernière composition de l’actif semestriel du Fonds </w:t>
      </w:r>
      <w:r w:rsidR="00814444">
        <w:rPr>
          <w:sz w:val="16"/>
          <w:szCs w:val="16"/>
          <w:lang w:val="fr-FR"/>
        </w:rPr>
        <w:t>sont</w:t>
      </w:r>
      <w:r w:rsidRPr="00892D9B">
        <w:rPr>
          <w:sz w:val="16"/>
          <w:szCs w:val="16"/>
          <w:lang w:val="fr-FR"/>
        </w:rPr>
        <w:t xml:space="preserve"> disponibles sur simple demande écrite du porteur, </w:t>
      </w:r>
      <w:r w:rsidR="007B2AF6" w:rsidRPr="00892D9B">
        <w:rPr>
          <w:sz w:val="16"/>
          <w:szCs w:val="16"/>
          <w:lang w:val="fr-FR"/>
        </w:rPr>
        <w:t>dans un délai d’une semaine à compter de la réception de la demande</w:t>
      </w:r>
      <w:r w:rsidRPr="00892D9B">
        <w:rPr>
          <w:sz w:val="16"/>
          <w:szCs w:val="16"/>
          <w:lang w:val="fr-FR"/>
        </w:rPr>
        <w:t xml:space="preserve">. Sur option du porteur, ces documents </w:t>
      </w:r>
      <w:r w:rsidR="00814444">
        <w:rPr>
          <w:sz w:val="16"/>
          <w:szCs w:val="16"/>
          <w:lang w:val="fr-FR"/>
        </w:rPr>
        <w:t xml:space="preserve">peuvent </w:t>
      </w:r>
      <w:r w:rsidRPr="00892D9B">
        <w:rPr>
          <w:sz w:val="16"/>
          <w:szCs w:val="16"/>
          <w:lang w:val="fr-FR"/>
        </w:rPr>
        <w:t>lui être adressés sous forme électronique.</w:t>
      </w:r>
    </w:p>
    <w:p w:rsidR="00BD5506" w:rsidRPr="00BD5506" w:rsidRDefault="00BD5506" w:rsidP="00570A0A">
      <w:pPr>
        <w:pStyle w:val="Corpsdetexte"/>
        <w:spacing w:after="120"/>
        <w:rPr>
          <w:rFonts w:ascii="Arial" w:hAnsi="Arial" w:cs="Arial"/>
          <w:b/>
          <w:sz w:val="16"/>
          <w:szCs w:val="16"/>
        </w:rPr>
      </w:pPr>
      <w:r w:rsidRPr="00BD5506">
        <w:rPr>
          <w:rFonts w:ascii="Arial" w:hAnsi="Arial" w:cs="Arial"/>
          <w:sz w:val="16"/>
          <w:szCs w:val="16"/>
        </w:rPr>
        <w:t xml:space="preserve">La valeur liquidative des parts est </w:t>
      </w:r>
      <w:r w:rsidRPr="008A0B63">
        <w:rPr>
          <w:rFonts w:ascii="Arial" w:hAnsi="Arial" w:cs="Arial"/>
          <w:sz w:val="16"/>
          <w:szCs w:val="16"/>
        </w:rPr>
        <w:t xml:space="preserve">établie semestriellement au 31 mai et au 30 novembre. </w:t>
      </w:r>
      <w:r w:rsidR="008A0B63" w:rsidRPr="008A0B63">
        <w:rPr>
          <w:rFonts w:ascii="Arial" w:hAnsi="Arial" w:cs="Arial"/>
          <w:sz w:val="16"/>
          <w:szCs w:val="16"/>
        </w:rPr>
        <w:t>L</w:t>
      </w:r>
      <w:r w:rsidRPr="008A0B63">
        <w:rPr>
          <w:rFonts w:ascii="Arial" w:hAnsi="Arial" w:cs="Arial"/>
          <w:sz w:val="16"/>
          <w:szCs w:val="16"/>
        </w:rPr>
        <w:t xml:space="preserve">a première valeur liquidative sera établie sur la base de la situation du Fonds au 31 mai 2012. </w:t>
      </w:r>
      <w:r w:rsidR="008A0B63" w:rsidRPr="008A0B63">
        <w:rPr>
          <w:rFonts w:ascii="Arial" w:hAnsi="Arial" w:cs="Arial"/>
          <w:sz w:val="16"/>
          <w:szCs w:val="16"/>
        </w:rPr>
        <w:t>Elle est affichée dans les locaux de la Société de Gestion dans le mois qui suit son établissement et communiquée à l’Autorité des marchés financiers.</w:t>
      </w:r>
    </w:p>
    <w:p w:rsidR="00814444" w:rsidRPr="00BD5506" w:rsidRDefault="00814444" w:rsidP="00570A0A">
      <w:pPr>
        <w:keepNext w:val="0"/>
        <w:keepLines w:val="0"/>
        <w:widowControl w:val="0"/>
        <w:rPr>
          <w:rFonts w:cs="Arial"/>
          <w:sz w:val="16"/>
          <w:szCs w:val="16"/>
          <w:lang w:val="fr-FR"/>
        </w:rPr>
      </w:pPr>
    </w:p>
    <w:p w:rsidR="00011083" w:rsidRDefault="00011083" w:rsidP="00570A0A">
      <w:pPr>
        <w:keepNext w:val="0"/>
        <w:keepLines w:val="0"/>
        <w:widowControl w:val="0"/>
        <w:rPr>
          <w:i/>
          <w:color w:val="000000"/>
          <w:sz w:val="16"/>
          <w:szCs w:val="16"/>
          <w:u w:val="single"/>
          <w:lang w:val="fr-FR"/>
        </w:rPr>
      </w:pPr>
      <w:r w:rsidRPr="00892D9B">
        <w:rPr>
          <w:i/>
          <w:color w:val="000000"/>
          <w:sz w:val="16"/>
          <w:szCs w:val="16"/>
          <w:u w:val="single"/>
          <w:lang w:val="fr-FR"/>
        </w:rPr>
        <w:t>Fiscalité :</w:t>
      </w:r>
    </w:p>
    <w:p w:rsidR="00570A0A" w:rsidRPr="00892D9B" w:rsidRDefault="00570A0A" w:rsidP="00570A0A">
      <w:pPr>
        <w:keepNext w:val="0"/>
        <w:keepLines w:val="0"/>
        <w:widowControl w:val="0"/>
        <w:rPr>
          <w:i/>
          <w:color w:val="000000"/>
          <w:sz w:val="16"/>
          <w:szCs w:val="16"/>
          <w:u w:val="single"/>
          <w:lang w:val="fr-FR"/>
        </w:rPr>
      </w:pPr>
    </w:p>
    <w:p w:rsidR="00A85AB6" w:rsidRPr="00892D9B" w:rsidRDefault="00A85AB6" w:rsidP="00E3583D">
      <w:pPr>
        <w:spacing w:after="120"/>
        <w:rPr>
          <w:sz w:val="16"/>
          <w:szCs w:val="16"/>
          <w:lang w:val="fr-FR"/>
        </w:rPr>
      </w:pPr>
      <w:r w:rsidRPr="00892D9B">
        <w:rPr>
          <w:sz w:val="16"/>
          <w:szCs w:val="16"/>
          <w:lang w:val="fr-FR"/>
        </w:rPr>
        <w:t xml:space="preserve">Les porteurs de parts, personnes physiques, peuvent bénéficier, sous certaines conditions, des avantages fiscaux prévus par les articles 150-0-A III 1°, 163 </w:t>
      </w:r>
      <w:proofErr w:type="spellStart"/>
      <w:r w:rsidRPr="00892D9B">
        <w:rPr>
          <w:sz w:val="16"/>
          <w:szCs w:val="16"/>
          <w:lang w:val="fr-FR"/>
        </w:rPr>
        <w:t>quinquies</w:t>
      </w:r>
      <w:proofErr w:type="spellEnd"/>
      <w:r w:rsidRPr="00892D9B">
        <w:rPr>
          <w:sz w:val="16"/>
          <w:szCs w:val="16"/>
          <w:lang w:val="fr-FR"/>
        </w:rPr>
        <w:t xml:space="preserve"> </w:t>
      </w:r>
      <w:proofErr w:type="gramStart"/>
      <w:r w:rsidRPr="00892D9B">
        <w:rPr>
          <w:sz w:val="16"/>
          <w:szCs w:val="16"/>
          <w:lang w:val="fr-FR"/>
        </w:rPr>
        <w:t>B ,</w:t>
      </w:r>
      <w:proofErr w:type="gramEnd"/>
      <w:r w:rsidRPr="00892D9B">
        <w:rPr>
          <w:sz w:val="16"/>
          <w:szCs w:val="16"/>
          <w:lang w:val="fr-FR"/>
        </w:rPr>
        <w:t xml:space="preserve"> 199 </w:t>
      </w:r>
      <w:proofErr w:type="spellStart"/>
      <w:r w:rsidRPr="00892D9B">
        <w:rPr>
          <w:sz w:val="16"/>
          <w:szCs w:val="16"/>
          <w:lang w:val="fr-FR"/>
        </w:rPr>
        <w:t>terdecies</w:t>
      </w:r>
      <w:proofErr w:type="spellEnd"/>
      <w:r w:rsidRPr="00892D9B">
        <w:rPr>
          <w:sz w:val="16"/>
          <w:szCs w:val="16"/>
          <w:lang w:val="fr-FR"/>
        </w:rPr>
        <w:t xml:space="preserve"> 0A et 885-0 V Bis du code général des impôts sous réserve du respect, par le Fonds, de certaines règles d’investissement et de la durée de détention des parts par le souscripteur.</w:t>
      </w:r>
    </w:p>
    <w:p w:rsidR="00A85AB6" w:rsidRPr="00892D9B" w:rsidRDefault="00A85AB6" w:rsidP="00E3583D">
      <w:pPr>
        <w:spacing w:after="120"/>
        <w:rPr>
          <w:sz w:val="16"/>
          <w:szCs w:val="16"/>
          <w:lang w:val="fr-FR"/>
        </w:rPr>
      </w:pPr>
      <w:r w:rsidRPr="00892D9B">
        <w:rPr>
          <w:sz w:val="16"/>
          <w:szCs w:val="16"/>
          <w:lang w:val="fr-FR"/>
        </w:rPr>
        <w:t>Un document séparé comprenant le détail du régime fiscal applicable est mis à la disposition des souscripteurs. Il est précisé que ce document n’est pas visé par l’AMF.</w:t>
      </w:r>
    </w:p>
    <w:p w:rsidR="00A85AB6" w:rsidRDefault="007E3ABC" w:rsidP="00E3583D">
      <w:pPr>
        <w:spacing w:after="120"/>
        <w:rPr>
          <w:bCs/>
          <w:iCs/>
          <w:sz w:val="16"/>
          <w:szCs w:val="16"/>
          <w:lang w:val="fr-FR"/>
        </w:rPr>
      </w:pPr>
      <w:r w:rsidRPr="007E3ABC">
        <w:rPr>
          <w:bCs/>
          <w:iCs/>
          <w:sz w:val="16"/>
          <w:szCs w:val="16"/>
          <w:lang w:val="fr-FR"/>
        </w:rPr>
        <w:t>L'AMF attire l'attention des souscripteurs sur le fait que la délivrance de son agrément ne signifie pas que le produit présenté est éligible aux différents dispositifs fiscaux. L'éligibilité à ces dispositifs dépendra notamment du respect de certaines règles d'investissement au cours de la vie de ce produit, de la durée de détention ainsi que de la situation individuelle de chaque souscripteur.</w:t>
      </w:r>
    </w:p>
    <w:p w:rsidR="00570A0A" w:rsidRPr="00892D9B" w:rsidRDefault="00570A0A" w:rsidP="00570A0A">
      <w:pPr>
        <w:rPr>
          <w:sz w:val="16"/>
          <w:szCs w:val="16"/>
          <w:lang w:val="fr-FR"/>
        </w:rPr>
      </w:pPr>
    </w:p>
    <w:p w:rsidR="00011083" w:rsidRPr="00892D9B" w:rsidRDefault="00011083" w:rsidP="00E3583D">
      <w:pPr>
        <w:keepNext w:val="0"/>
        <w:keepLines w:val="0"/>
        <w:widowControl w:val="0"/>
        <w:spacing w:after="120"/>
        <w:jc w:val="center"/>
        <w:rPr>
          <w:rStyle w:val="Lienhypertexte"/>
          <w:color w:val="auto"/>
          <w:sz w:val="16"/>
          <w:szCs w:val="16"/>
          <w:u w:val="none"/>
          <w:lang w:val="fr-FR"/>
        </w:rPr>
      </w:pPr>
      <w:r w:rsidRPr="00892D9B">
        <w:rPr>
          <w:rStyle w:val="Lienhypertexte"/>
          <w:color w:val="auto"/>
          <w:sz w:val="16"/>
          <w:szCs w:val="16"/>
          <w:u w:val="none"/>
          <w:lang w:val="fr-FR"/>
        </w:rPr>
        <w:t>******</w:t>
      </w:r>
    </w:p>
    <w:p w:rsidR="00011083" w:rsidRPr="00892D9B" w:rsidRDefault="00011083" w:rsidP="00E3583D">
      <w:pPr>
        <w:keepNext w:val="0"/>
        <w:keepLines w:val="0"/>
        <w:widowControl w:val="0"/>
        <w:spacing w:after="120"/>
        <w:rPr>
          <w:rStyle w:val="Lienhypertexte"/>
          <w:color w:val="auto"/>
          <w:sz w:val="16"/>
          <w:szCs w:val="16"/>
          <w:u w:val="none"/>
          <w:lang w:val="fr-FR"/>
        </w:rPr>
      </w:pPr>
      <w:r w:rsidRPr="00892D9B">
        <w:rPr>
          <w:rStyle w:val="Lienhypertexte"/>
          <w:color w:val="auto"/>
          <w:sz w:val="16"/>
          <w:szCs w:val="16"/>
          <w:u w:val="none"/>
          <w:lang w:val="fr-FR"/>
        </w:rPr>
        <w:t xml:space="preserve">La responsabilité de </w:t>
      </w:r>
      <w:r w:rsidR="00A85AB6" w:rsidRPr="00892D9B">
        <w:rPr>
          <w:rStyle w:val="Lienhypertexte"/>
          <w:color w:val="auto"/>
          <w:sz w:val="16"/>
          <w:szCs w:val="16"/>
          <w:u w:val="none"/>
          <w:lang w:val="fr-FR"/>
        </w:rPr>
        <w:t>RHONE-ALPES PME</w:t>
      </w:r>
      <w:r w:rsidRPr="00892D9B">
        <w:rPr>
          <w:rStyle w:val="Lienhypertexte"/>
          <w:color w:val="auto"/>
          <w:sz w:val="16"/>
          <w:szCs w:val="16"/>
          <w:u w:val="none"/>
          <w:lang w:val="fr-FR"/>
        </w:rPr>
        <w:t xml:space="preserve"> GESTION, société de gestion du Fonds, ne peut être engagée que sur la base de déclarations contenues dans le présent document qui seraient trompeuses, inexactes ou non cohérentes avec les parties correspondantes du </w:t>
      </w:r>
      <w:r w:rsidR="007E3ABC">
        <w:rPr>
          <w:rStyle w:val="Lienhypertexte"/>
          <w:color w:val="auto"/>
          <w:sz w:val="16"/>
          <w:szCs w:val="16"/>
          <w:u w:val="none"/>
          <w:lang w:val="fr-FR"/>
        </w:rPr>
        <w:t>Prospectus</w:t>
      </w:r>
      <w:r w:rsidR="007E3ABC" w:rsidRPr="00892D9B">
        <w:rPr>
          <w:rStyle w:val="Lienhypertexte"/>
          <w:color w:val="auto"/>
          <w:sz w:val="16"/>
          <w:szCs w:val="16"/>
          <w:u w:val="none"/>
          <w:lang w:val="fr-FR"/>
        </w:rPr>
        <w:t xml:space="preserve"> </w:t>
      </w:r>
      <w:r w:rsidRPr="00892D9B">
        <w:rPr>
          <w:rStyle w:val="Lienhypertexte"/>
          <w:color w:val="auto"/>
          <w:sz w:val="16"/>
          <w:szCs w:val="16"/>
          <w:u w:val="none"/>
          <w:lang w:val="fr-FR"/>
        </w:rPr>
        <w:t>du Fonds.</w:t>
      </w:r>
    </w:p>
    <w:p w:rsidR="00011083" w:rsidRPr="00892D9B" w:rsidRDefault="00011083" w:rsidP="00E3583D">
      <w:pPr>
        <w:keepNext w:val="0"/>
        <w:keepLines w:val="0"/>
        <w:widowControl w:val="0"/>
        <w:spacing w:after="120"/>
        <w:rPr>
          <w:rStyle w:val="Lienhypertexte"/>
          <w:color w:val="auto"/>
          <w:sz w:val="16"/>
          <w:szCs w:val="16"/>
          <w:u w:val="none"/>
          <w:lang w:val="fr-FR"/>
        </w:rPr>
      </w:pPr>
      <w:r w:rsidRPr="00892D9B">
        <w:rPr>
          <w:rStyle w:val="Lienhypertexte"/>
          <w:color w:val="auto"/>
          <w:sz w:val="16"/>
          <w:szCs w:val="16"/>
          <w:u w:val="none"/>
          <w:lang w:val="fr-FR"/>
        </w:rPr>
        <w:t xml:space="preserve">Ce fonds est agréé par l’AMF </w:t>
      </w:r>
      <w:r w:rsidR="00864F29" w:rsidRPr="00892D9B">
        <w:rPr>
          <w:rStyle w:val="Lienhypertexte"/>
          <w:color w:val="auto"/>
          <w:sz w:val="16"/>
          <w:szCs w:val="16"/>
          <w:u w:val="none"/>
          <w:lang w:val="fr-FR"/>
        </w:rPr>
        <w:t xml:space="preserve">(5 avril 2011) </w:t>
      </w:r>
      <w:r w:rsidRPr="00892D9B">
        <w:rPr>
          <w:rStyle w:val="Lienhypertexte"/>
          <w:color w:val="auto"/>
          <w:sz w:val="16"/>
          <w:szCs w:val="16"/>
          <w:u w:val="none"/>
          <w:lang w:val="fr-FR"/>
        </w:rPr>
        <w:t>et réglementé par l’AMF.</w:t>
      </w:r>
    </w:p>
    <w:p w:rsidR="00011083" w:rsidRPr="00892D9B" w:rsidRDefault="00A85AB6" w:rsidP="00E3583D">
      <w:pPr>
        <w:keepNext w:val="0"/>
        <w:keepLines w:val="0"/>
        <w:widowControl w:val="0"/>
        <w:spacing w:after="120"/>
        <w:rPr>
          <w:rStyle w:val="Lienhypertexte"/>
          <w:color w:val="auto"/>
          <w:sz w:val="16"/>
          <w:szCs w:val="16"/>
          <w:u w:val="none"/>
          <w:lang w:val="fr-FR"/>
        </w:rPr>
      </w:pPr>
      <w:r w:rsidRPr="00892D9B">
        <w:rPr>
          <w:rStyle w:val="Lienhypertexte"/>
          <w:color w:val="auto"/>
          <w:sz w:val="16"/>
          <w:szCs w:val="16"/>
          <w:u w:val="none"/>
          <w:lang w:val="fr-FR"/>
        </w:rPr>
        <w:t xml:space="preserve">RHONE-ALPES PME </w:t>
      </w:r>
      <w:r w:rsidR="00011083" w:rsidRPr="00892D9B">
        <w:rPr>
          <w:rStyle w:val="Lienhypertexte"/>
          <w:color w:val="auto"/>
          <w:sz w:val="16"/>
          <w:szCs w:val="16"/>
          <w:u w:val="none"/>
          <w:lang w:val="fr-FR"/>
        </w:rPr>
        <w:t>GESTION, société de gestion, est agréée par l’Etat Français et réglementé par l’AMF.</w:t>
      </w:r>
    </w:p>
    <w:p w:rsidR="00011083" w:rsidRDefault="00011083" w:rsidP="00E3583D">
      <w:pPr>
        <w:keepNext w:val="0"/>
        <w:keepLines w:val="0"/>
        <w:widowControl w:val="0"/>
        <w:spacing w:after="120"/>
        <w:rPr>
          <w:rStyle w:val="Lienhypertexte"/>
          <w:color w:val="auto"/>
          <w:sz w:val="16"/>
          <w:szCs w:val="16"/>
          <w:u w:val="none"/>
          <w:lang w:val="fr-FR"/>
        </w:rPr>
      </w:pPr>
      <w:r w:rsidRPr="00892D9B">
        <w:rPr>
          <w:rStyle w:val="Lienhypertexte"/>
          <w:color w:val="auto"/>
          <w:sz w:val="16"/>
          <w:szCs w:val="16"/>
          <w:u w:val="none"/>
          <w:lang w:val="fr-FR"/>
        </w:rPr>
        <w:t>Les informations clés pour l’investisseur ici fournies sont exactes et à jour au</w:t>
      </w:r>
      <w:r w:rsidR="00D6145D">
        <w:rPr>
          <w:rStyle w:val="Lienhypertexte"/>
          <w:color w:val="auto"/>
          <w:sz w:val="16"/>
          <w:szCs w:val="16"/>
          <w:u w:val="none"/>
          <w:lang w:val="fr-FR"/>
        </w:rPr>
        <w:t xml:space="preserve"> 2 mars 2012</w:t>
      </w:r>
      <w:r w:rsidR="00864F29" w:rsidRPr="007E3ABC">
        <w:rPr>
          <w:rStyle w:val="Lienhypertexte"/>
          <w:color w:val="auto"/>
          <w:sz w:val="16"/>
          <w:szCs w:val="16"/>
          <w:u w:val="none"/>
          <w:lang w:val="fr-FR"/>
        </w:rPr>
        <w:t>.</w:t>
      </w:r>
    </w:p>
    <w:p w:rsidR="008A0B63" w:rsidRPr="00892D9B" w:rsidRDefault="008A0B63" w:rsidP="00E3583D">
      <w:pPr>
        <w:keepNext w:val="0"/>
        <w:keepLines w:val="0"/>
        <w:widowControl w:val="0"/>
        <w:spacing w:after="120"/>
        <w:rPr>
          <w:rStyle w:val="Lienhypertexte"/>
          <w:color w:val="auto"/>
          <w:sz w:val="16"/>
          <w:szCs w:val="16"/>
          <w:u w:val="none"/>
          <w:lang w:val="fr-FR"/>
        </w:rPr>
      </w:pPr>
    </w:p>
    <w:sectPr w:rsidR="008A0B63" w:rsidRPr="00892D9B" w:rsidSect="00450DE3">
      <w:pgSz w:w="11906" w:h="16838" w:code="9"/>
      <w:pgMar w:top="1134" w:right="1134" w:bottom="1134" w:left="1134" w:header="1418" w:footer="39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38B8" w:rsidRDefault="001A38B8">
      <w:r>
        <w:separator/>
      </w:r>
    </w:p>
  </w:endnote>
  <w:endnote w:type="continuationSeparator" w:id="0">
    <w:p w:rsidR="001A38B8" w:rsidRDefault="001A38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E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CD1" w:rsidRDefault="00922D5C">
    <w:pPr>
      <w:pStyle w:val="Pieddepage"/>
      <w:jc w:val="right"/>
    </w:pPr>
    <w:fldSimple w:instr=" PAGE  \* Arabic  \* MERGEFORMAT ">
      <w:r w:rsidR="00B15470">
        <w:rPr>
          <w:noProof/>
        </w:rPr>
        <w:t>3</w:t>
      </w:r>
    </w:fldSimple>
    <w:r w:rsidR="003F5CD1">
      <w:t>/</w:t>
    </w:r>
    <w:fldSimple w:instr=" NUMPAGES   \* MERGEFORMAT ">
      <w:r w:rsidR="00A1437B">
        <w:rPr>
          <w:noProof/>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38B8" w:rsidRDefault="001A38B8">
      <w:r>
        <w:separator/>
      </w:r>
    </w:p>
  </w:footnote>
  <w:footnote w:type="continuationSeparator" w:id="0">
    <w:p w:rsidR="001A38B8" w:rsidRDefault="001A38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17287"/>
    <w:multiLevelType w:val="hybridMultilevel"/>
    <w:tmpl w:val="EBDAA9B6"/>
    <w:lvl w:ilvl="0" w:tplc="040C000F">
      <w:start w:val="1"/>
      <w:numFmt w:val="decimal"/>
      <w:lvlText w:val="%1."/>
      <w:lvlJc w:val="left"/>
      <w:pPr>
        <w:ind w:left="1429" w:hanging="360"/>
      </w:p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1">
    <w:nsid w:val="158E0D9A"/>
    <w:multiLevelType w:val="hybridMultilevel"/>
    <w:tmpl w:val="01100BB4"/>
    <w:lvl w:ilvl="0" w:tplc="0BFAE2A4">
      <w:start w:val="1"/>
      <w:numFmt w:val="decimal"/>
      <w:lvlText w:val="1.%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84F44B7"/>
    <w:multiLevelType w:val="hybridMultilevel"/>
    <w:tmpl w:val="CF687812"/>
    <w:lvl w:ilvl="0" w:tplc="6276DFDA">
      <w:start w:val="1"/>
      <w:numFmt w:val="bullet"/>
      <w:lvlText w:val=""/>
      <w:lvlJc w:val="left"/>
      <w:pPr>
        <w:ind w:left="2335"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D4C1B35"/>
    <w:multiLevelType w:val="hybridMultilevel"/>
    <w:tmpl w:val="06B2142C"/>
    <w:lvl w:ilvl="0" w:tplc="8B746286">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0AF707B"/>
    <w:multiLevelType w:val="singleLevel"/>
    <w:tmpl w:val="D244F276"/>
    <w:lvl w:ilvl="0">
      <w:start w:val="17"/>
      <w:numFmt w:val="bullet"/>
      <w:lvlText w:val="-"/>
      <w:lvlJc w:val="left"/>
      <w:pPr>
        <w:tabs>
          <w:tab w:val="num" w:pos="705"/>
        </w:tabs>
        <w:ind w:left="705" w:hanging="705"/>
      </w:pPr>
      <w:rPr>
        <w:rFonts w:ascii="Times New Roman" w:hAnsi="Times New Roman" w:hint="default"/>
      </w:rPr>
    </w:lvl>
  </w:abstractNum>
  <w:abstractNum w:abstractNumId="5">
    <w:nsid w:val="349F70F8"/>
    <w:multiLevelType w:val="hybridMultilevel"/>
    <w:tmpl w:val="534E4408"/>
    <w:lvl w:ilvl="0" w:tplc="734C9338">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6">
    <w:nsid w:val="4A8B0643"/>
    <w:multiLevelType w:val="hybridMultilevel"/>
    <w:tmpl w:val="BF00E794"/>
    <w:lvl w:ilvl="0" w:tplc="2D940310">
      <w:start w:val="1"/>
      <w:numFmt w:val="decimal"/>
      <w:lvlText w:val="1.%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519D4C52"/>
    <w:multiLevelType w:val="hybridMultilevel"/>
    <w:tmpl w:val="602A9D90"/>
    <w:lvl w:ilvl="0" w:tplc="6276DFDA">
      <w:start w:val="1"/>
      <w:numFmt w:val="bullet"/>
      <w:lvlText w:val=""/>
      <w:lvlJc w:val="left"/>
      <w:pPr>
        <w:ind w:left="2563" w:hanging="360"/>
      </w:pPr>
      <w:rPr>
        <w:rFonts w:ascii="Symbol" w:hAnsi="Symbol" w:hint="default"/>
      </w:rPr>
    </w:lvl>
    <w:lvl w:ilvl="1" w:tplc="040C0003" w:tentative="1">
      <w:start w:val="1"/>
      <w:numFmt w:val="bullet"/>
      <w:lvlText w:val="o"/>
      <w:lvlJc w:val="left"/>
      <w:pPr>
        <w:ind w:left="3283" w:hanging="360"/>
      </w:pPr>
      <w:rPr>
        <w:rFonts w:ascii="Courier New" w:hAnsi="Courier New" w:cs="Courier New" w:hint="default"/>
      </w:rPr>
    </w:lvl>
    <w:lvl w:ilvl="2" w:tplc="040C0005" w:tentative="1">
      <w:start w:val="1"/>
      <w:numFmt w:val="bullet"/>
      <w:lvlText w:val=""/>
      <w:lvlJc w:val="left"/>
      <w:pPr>
        <w:ind w:left="4003" w:hanging="360"/>
      </w:pPr>
      <w:rPr>
        <w:rFonts w:ascii="Wingdings" w:hAnsi="Wingdings" w:hint="default"/>
      </w:rPr>
    </w:lvl>
    <w:lvl w:ilvl="3" w:tplc="040C0001" w:tentative="1">
      <w:start w:val="1"/>
      <w:numFmt w:val="bullet"/>
      <w:lvlText w:val=""/>
      <w:lvlJc w:val="left"/>
      <w:pPr>
        <w:ind w:left="4723" w:hanging="360"/>
      </w:pPr>
      <w:rPr>
        <w:rFonts w:ascii="Symbol" w:hAnsi="Symbol" w:hint="default"/>
      </w:rPr>
    </w:lvl>
    <w:lvl w:ilvl="4" w:tplc="040C0003" w:tentative="1">
      <w:start w:val="1"/>
      <w:numFmt w:val="bullet"/>
      <w:lvlText w:val="o"/>
      <w:lvlJc w:val="left"/>
      <w:pPr>
        <w:ind w:left="5443" w:hanging="360"/>
      </w:pPr>
      <w:rPr>
        <w:rFonts w:ascii="Courier New" w:hAnsi="Courier New" w:cs="Courier New" w:hint="default"/>
      </w:rPr>
    </w:lvl>
    <w:lvl w:ilvl="5" w:tplc="040C0005" w:tentative="1">
      <w:start w:val="1"/>
      <w:numFmt w:val="bullet"/>
      <w:lvlText w:val=""/>
      <w:lvlJc w:val="left"/>
      <w:pPr>
        <w:ind w:left="6163" w:hanging="360"/>
      </w:pPr>
      <w:rPr>
        <w:rFonts w:ascii="Wingdings" w:hAnsi="Wingdings" w:hint="default"/>
      </w:rPr>
    </w:lvl>
    <w:lvl w:ilvl="6" w:tplc="040C0001" w:tentative="1">
      <w:start w:val="1"/>
      <w:numFmt w:val="bullet"/>
      <w:lvlText w:val=""/>
      <w:lvlJc w:val="left"/>
      <w:pPr>
        <w:ind w:left="6883" w:hanging="360"/>
      </w:pPr>
      <w:rPr>
        <w:rFonts w:ascii="Symbol" w:hAnsi="Symbol" w:hint="default"/>
      </w:rPr>
    </w:lvl>
    <w:lvl w:ilvl="7" w:tplc="040C0003" w:tentative="1">
      <w:start w:val="1"/>
      <w:numFmt w:val="bullet"/>
      <w:lvlText w:val="o"/>
      <w:lvlJc w:val="left"/>
      <w:pPr>
        <w:ind w:left="7603" w:hanging="360"/>
      </w:pPr>
      <w:rPr>
        <w:rFonts w:ascii="Courier New" w:hAnsi="Courier New" w:cs="Courier New" w:hint="default"/>
      </w:rPr>
    </w:lvl>
    <w:lvl w:ilvl="8" w:tplc="040C0005" w:tentative="1">
      <w:start w:val="1"/>
      <w:numFmt w:val="bullet"/>
      <w:lvlText w:val=""/>
      <w:lvlJc w:val="left"/>
      <w:pPr>
        <w:ind w:left="8323" w:hanging="360"/>
      </w:pPr>
      <w:rPr>
        <w:rFonts w:ascii="Wingdings" w:hAnsi="Wingdings" w:hint="default"/>
      </w:rPr>
    </w:lvl>
  </w:abstractNum>
  <w:abstractNum w:abstractNumId="8">
    <w:nsid w:val="5574017A"/>
    <w:multiLevelType w:val="hybridMultilevel"/>
    <w:tmpl w:val="AD42586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5FC303E0"/>
    <w:multiLevelType w:val="hybridMultilevel"/>
    <w:tmpl w:val="8CAE9BC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3DE09DD"/>
    <w:multiLevelType w:val="hybridMultilevel"/>
    <w:tmpl w:val="F84C3408"/>
    <w:lvl w:ilvl="0" w:tplc="94E0DFBE">
      <w:start w:val="6"/>
      <w:numFmt w:val="bullet"/>
      <w:lvlText w:val="-"/>
      <w:lvlJc w:val="left"/>
      <w:pPr>
        <w:ind w:left="720" w:hanging="360"/>
      </w:pPr>
      <w:rPr>
        <w:rFonts w:ascii="Times New Roman" w:eastAsia="Times New Roman" w:hAnsi="Times New Roman"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41C4884"/>
    <w:multiLevelType w:val="multilevel"/>
    <w:tmpl w:val="ABFA3254"/>
    <w:lvl w:ilvl="0">
      <w:start w:val="1"/>
      <w:numFmt w:val="decimal"/>
      <w:pStyle w:val="Titre1"/>
      <w:lvlText w:val="%1."/>
      <w:lvlJc w:val="left"/>
      <w:pPr>
        <w:ind w:left="709" w:hanging="709"/>
      </w:pPr>
      <w:rPr>
        <w:rFonts w:hint="default"/>
        <w:spacing w:val="-20"/>
      </w:rPr>
    </w:lvl>
    <w:lvl w:ilvl="1">
      <w:start w:val="1"/>
      <w:numFmt w:val="decimal"/>
      <w:pStyle w:val="Titre2"/>
      <w:lvlText w:val="%1.%2."/>
      <w:lvlJc w:val="left"/>
      <w:pPr>
        <w:ind w:left="709" w:hanging="709"/>
      </w:pPr>
      <w:rPr>
        <w:rFonts w:hint="default"/>
        <w:spacing w:val="-20"/>
      </w:rPr>
    </w:lvl>
    <w:lvl w:ilvl="2">
      <w:start w:val="1"/>
      <w:numFmt w:val="decimal"/>
      <w:pStyle w:val="Titre3"/>
      <w:lvlText w:val="%1.%2.%3."/>
      <w:lvlJc w:val="left"/>
      <w:pPr>
        <w:ind w:left="709" w:hanging="709"/>
      </w:pPr>
      <w:rPr>
        <w:rFonts w:hint="default"/>
        <w:spacing w:val="-20"/>
      </w:rPr>
    </w:lvl>
    <w:lvl w:ilvl="3">
      <w:start w:val="1"/>
      <w:numFmt w:val="decimal"/>
      <w:pStyle w:val="Titre4"/>
      <w:lvlText w:val="%1.%2.%3.%4."/>
      <w:lvlJc w:val="left"/>
      <w:pPr>
        <w:ind w:left="709" w:hanging="709"/>
      </w:pPr>
      <w:rPr>
        <w:rFonts w:hint="default"/>
        <w:b w:val="0"/>
        <w:i w:val="0"/>
        <w:spacing w:val="-20"/>
      </w:rPr>
    </w:lvl>
    <w:lvl w:ilvl="4">
      <w:start w:val="1"/>
      <w:numFmt w:val="lowerLetter"/>
      <w:pStyle w:val="Titre5"/>
      <w:lvlText w:val="%5)"/>
      <w:lvlJc w:val="left"/>
      <w:pPr>
        <w:ind w:left="1134" w:hanging="425"/>
      </w:pPr>
      <w:rPr>
        <w:rFonts w:hint="default"/>
        <w:b w:val="0"/>
        <w:i w:val="0"/>
      </w:rPr>
    </w:lvl>
    <w:lvl w:ilvl="5">
      <w:start w:val="1"/>
      <w:numFmt w:val="lowerRoman"/>
      <w:pStyle w:val="Titre6"/>
      <w:lvlText w:val="%6)"/>
      <w:lvlJc w:val="left"/>
      <w:pPr>
        <w:ind w:left="1559" w:hanging="425"/>
      </w:pPr>
      <w:rPr>
        <w:rFonts w:hint="default"/>
        <w:b w:val="0"/>
        <w:i w:val="0"/>
      </w:rPr>
    </w:lvl>
    <w:lvl w:ilvl="6">
      <w:start w:val="1"/>
      <w:numFmt w:val="bullet"/>
      <w:pStyle w:val="Titre7"/>
      <w:lvlText w:val=""/>
      <w:lvlJc w:val="left"/>
      <w:pPr>
        <w:ind w:left="1843" w:hanging="142"/>
      </w:pPr>
      <w:rPr>
        <w:rFonts w:ascii="Symbol" w:hAnsi="Symbol" w:hint="default"/>
      </w:rPr>
    </w:lvl>
    <w:lvl w:ilvl="7">
      <w:start w:val="1"/>
      <w:numFmt w:val="lowerLetter"/>
      <w:pStyle w:val="Titre8"/>
      <w:lvlText w:val="%8."/>
      <w:lvlJc w:val="left"/>
      <w:pPr>
        <w:ind w:left="1418" w:firstLine="0"/>
      </w:pPr>
      <w:rPr>
        <w:rFonts w:hint="default"/>
      </w:rPr>
    </w:lvl>
    <w:lvl w:ilvl="8">
      <w:start w:val="1"/>
      <w:numFmt w:val="lowerRoman"/>
      <w:pStyle w:val="Titre9"/>
      <w:lvlText w:val="%9."/>
      <w:lvlJc w:val="left"/>
      <w:pPr>
        <w:ind w:left="1418" w:firstLine="0"/>
      </w:pPr>
      <w:rPr>
        <w:rFonts w:hint="default"/>
      </w:rPr>
    </w:lvl>
  </w:abstractNum>
  <w:abstractNum w:abstractNumId="12">
    <w:nsid w:val="71936309"/>
    <w:multiLevelType w:val="hybridMultilevel"/>
    <w:tmpl w:val="3EC09ED2"/>
    <w:lvl w:ilvl="0" w:tplc="140085EA">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74D855BD"/>
    <w:multiLevelType w:val="hybridMultilevel"/>
    <w:tmpl w:val="FD288218"/>
    <w:lvl w:ilvl="0" w:tplc="6276DFDA">
      <w:start w:val="1"/>
      <w:numFmt w:val="bullet"/>
      <w:lvlText w:val=""/>
      <w:lvlJc w:val="left"/>
      <w:pPr>
        <w:ind w:left="2563" w:hanging="360"/>
      </w:pPr>
      <w:rPr>
        <w:rFonts w:ascii="Symbol" w:hAnsi="Symbol" w:hint="default"/>
      </w:rPr>
    </w:lvl>
    <w:lvl w:ilvl="1" w:tplc="040C0003" w:tentative="1">
      <w:start w:val="1"/>
      <w:numFmt w:val="bullet"/>
      <w:lvlText w:val="o"/>
      <w:lvlJc w:val="left"/>
      <w:pPr>
        <w:ind w:left="3283" w:hanging="360"/>
      </w:pPr>
      <w:rPr>
        <w:rFonts w:ascii="Courier New" w:hAnsi="Courier New" w:cs="Courier New" w:hint="default"/>
      </w:rPr>
    </w:lvl>
    <w:lvl w:ilvl="2" w:tplc="040C0005" w:tentative="1">
      <w:start w:val="1"/>
      <w:numFmt w:val="bullet"/>
      <w:lvlText w:val=""/>
      <w:lvlJc w:val="left"/>
      <w:pPr>
        <w:ind w:left="4003" w:hanging="360"/>
      </w:pPr>
      <w:rPr>
        <w:rFonts w:ascii="Wingdings" w:hAnsi="Wingdings" w:hint="default"/>
      </w:rPr>
    </w:lvl>
    <w:lvl w:ilvl="3" w:tplc="040C0001" w:tentative="1">
      <w:start w:val="1"/>
      <w:numFmt w:val="bullet"/>
      <w:lvlText w:val=""/>
      <w:lvlJc w:val="left"/>
      <w:pPr>
        <w:ind w:left="4723" w:hanging="360"/>
      </w:pPr>
      <w:rPr>
        <w:rFonts w:ascii="Symbol" w:hAnsi="Symbol" w:hint="default"/>
      </w:rPr>
    </w:lvl>
    <w:lvl w:ilvl="4" w:tplc="040C0003" w:tentative="1">
      <w:start w:val="1"/>
      <w:numFmt w:val="bullet"/>
      <w:lvlText w:val="o"/>
      <w:lvlJc w:val="left"/>
      <w:pPr>
        <w:ind w:left="5443" w:hanging="360"/>
      </w:pPr>
      <w:rPr>
        <w:rFonts w:ascii="Courier New" w:hAnsi="Courier New" w:cs="Courier New" w:hint="default"/>
      </w:rPr>
    </w:lvl>
    <w:lvl w:ilvl="5" w:tplc="040C0005" w:tentative="1">
      <w:start w:val="1"/>
      <w:numFmt w:val="bullet"/>
      <w:lvlText w:val=""/>
      <w:lvlJc w:val="left"/>
      <w:pPr>
        <w:ind w:left="6163" w:hanging="360"/>
      </w:pPr>
      <w:rPr>
        <w:rFonts w:ascii="Wingdings" w:hAnsi="Wingdings" w:hint="default"/>
      </w:rPr>
    </w:lvl>
    <w:lvl w:ilvl="6" w:tplc="040C0001" w:tentative="1">
      <w:start w:val="1"/>
      <w:numFmt w:val="bullet"/>
      <w:lvlText w:val=""/>
      <w:lvlJc w:val="left"/>
      <w:pPr>
        <w:ind w:left="6883" w:hanging="360"/>
      </w:pPr>
      <w:rPr>
        <w:rFonts w:ascii="Symbol" w:hAnsi="Symbol" w:hint="default"/>
      </w:rPr>
    </w:lvl>
    <w:lvl w:ilvl="7" w:tplc="040C0003" w:tentative="1">
      <w:start w:val="1"/>
      <w:numFmt w:val="bullet"/>
      <w:lvlText w:val="o"/>
      <w:lvlJc w:val="left"/>
      <w:pPr>
        <w:ind w:left="7603" w:hanging="360"/>
      </w:pPr>
      <w:rPr>
        <w:rFonts w:ascii="Courier New" w:hAnsi="Courier New" w:cs="Courier New" w:hint="default"/>
      </w:rPr>
    </w:lvl>
    <w:lvl w:ilvl="8" w:tplc="040C0005" w:tentative="1">
      <w:start w:val="1"/>
      <w:numFmt w:val="bullet"/>
      <w:lvlText w:val=""/>
      <w:lvlJc w:val="left"/>
      <w:pPr>
        <w:ind w:left="8323" w:hanging="360"/>
      </w:pPr>
      <w:rPr>
        <w:rFonts w:ascii="Wingdings" w:hAnsi="Wingdings" w:hint="default"/>
      </w:rPr>
    </w:lvl>
  </w:abstractNum>
  <w:abstractNum w:abstractNumId="14">
    <w:nsid w:val="7A38098E"/>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6"/>
  </w:num>
  <w:num w:numId="3">
    <w:abstractNumId w:val="6"/>
    <w:lvlOverride w:ilvl="0">
      <w:startOverride w:val="1"/>
    </w:lvlOverride>
  </w:num>
  <w:num w:numId="4">
    <w:abstractNumId w:val="1"/>
  </w:num>
  <w:num w:numId="5">
    <w:abstractNumId w:val="11"/>
  </w:num>
  <w:num w:numId="6">
    <w:abstractNumId w:val="11"/>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8"/>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13"/>
  </w:num>
  <w:num w:numId="37">
    <w:abstractNumId w:val="12"/>
  </w:num>
  <w:num w:numId="38">
    <w:abstractNumId w:val="10"/>
  </w:num>
  <w:num w:numId="39">
    <w:abstractNumId w:val="3"/>
  </w:num>
  <w:num w:numId="40">
    <w:abstractNumId w:val="4"/>
  </w:num>
  <w:num w:numId="4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SortMethod w:val="0000"/>
  <w:trackRevisions/>
  <w:defaultTabStop w:val="708"/>
  <w:hyphenationZone w:val="425"/>
  <w:drawingGridHorizontalSpacing w:val="100"/>
  <w:displayHorizontalDrawingGridEvery w:val="2"/>
  <w:characterSpacingControl w:val="doNotCompress"/>
  <w:hdrShapeDefaults>
    <o:shapedefaults v:ext="edit" spidmax="153601"/>
  </w:hdrShapeDefaults>
  <w:footnotePr>
    <w:footnote w:id="-1"/>
    <w:footnote w:id="0"/>
  </w:footnotePr>
  <w:endnotePr>
    <w:endnote w:id="-1"/>
    <w:endnote w:id="0"/>
  </w:endnotePr>
  <w:compat/>
  <w:rsids>
    <w:rsidRoot w:val="002B09E9"/>
    <w:rsid w:val="00011083"/>
    <w:rsid w:val="00011E81"/>
    <w:rsid w:val="00025B76"/>
    <w:rsid w:val="0004295F"/>
    <w:rsid w:val="00051FDB"/>
    <w:rsid w:val="0006275F"/>
    <w:rsid w:val="0007571F"/>
    <w:rsid w:val="000D0EED"/>
    <w:rsid w:val="000E050F"/>
    <w:rsid w:val="00115939"/>
    <w:rsid w:val="00117FC1"/>
    <w:rsid w:val="001458AD"/>
    <w:rsid w:val="00166A0A"/>
    <w:rsid w:val="0017265B"/>
    <w:rsid w:val="00181C17"/>
    <w:rsid w:val="00182D74"/>
    <w:rsid w:val="001A1765"/>
    <w:rsid w:val="001A38B8"/>
    <w:rsid w:val="001A4031"/>
    <w:rsid w:val="001C5F19"/>
    <w:rsid w:val="0020513D"/>
    <w:rsid w:val="00216ADF"/>
    <w:rsid w:val="00221653"/>
    <w:rsid w:val="0025046A"/>
    <w:rsid w:val="002578B8"/>
    <w:rsid w:val="0029012B"/>
    <w:rsid w:val="002A0202"/>
    <w:rsid w:val="002A5962"/>
    <w:rsid w:val="002B09E9"/>
    <w:rsid w:val="002B4296"/>
    <w:rsid w:val="002B71A3"/>
    <w:rsid w:val="002C2958"/>
    <w:rsid w:val="002E7AE3"/>
    <w:rsid w:val="00307283"/>
    <w:rsid w:val="00380E0C"/>
    <w:rsid w:val="0039137F"/>
    <w:rsid w:val="003A3CF8"/>
    <w:rsid w:val="003A5549"/>
    <w:rsid w:val="003F5433"/>
    <w:rsid w:val="003F5CD1"/>
    <w:rsid w:val="00416156"/>
    <w:rsid w:val="00430637"/>
    <w:rsid w:val="0043729C"/>
    <w:rsid w:val="004464A1"/>
    <w:rsid w:val="00450DE3"/>
    <w:rsid w:val="004536B7"/>
    <w:rsid w:val="0046530E"/>
    <w:rsid w:val="00467378"/>
    <w:rsid w:val="004931F7"/>
    <w:rsid w:val="004A4FCA"/>
    <w:rsid w:val="004C56AD"/>
    <w:rsid w:val="004F2870"/>
    <w:rsid w:val="004F382E"/>
    <w:rsid w:val="004F511D"/>
    <w:rsid w:val="0054139A"/>
    <w:rsid w:val="00545326"/>
    <w:rsid w:val="0056335B"/>
    <w:rsid w:val="00564921"/>
    <w:rsid w:val="00570A0A"/>
    <w:rsid w:val="005936DE"/>
    <w:rsid w:val="005A3D7B"/>
    <w:rsid w:val="005C2C84"/>
    <w:rsid w:val="006001B3"/>
    <w:rsid w:val="006014A2"/>
    <w:rsid w:val="006022FE"/>
    <w:rsid w:val="006072A9"/>
    <w:rsid w:val="006179B3"/>
    <w:rsid w:val="00671EC6"/>
    <w:rsid w:val="006803EC"/>
    <w:rsid w:val="006A1BA1"/>
    <w:rsid w:val="006A4A73"/>
    <w:rsid w:val="006B3B4E"/>
    <w:rsid w:val="006D2C5A"/>
    <w:rsid w:val="006E2DDB"/>
    <w:rsid w:val="00732460"/>
    <w:rsid w:val="00740923"/>
    <w:rsid w:val="00766BCE"/>
    <w:rsid w:val="00766D6C"/>
    <w:rsid w:val="00782F0B"/>
    <w:rsid w:val="00792026"/>
    <w:rsid w:val="00795F34"/>
    <w:rsid w:val="007979D9"/>
    <w:rsid w:val="007B2AF6"/>
    <w:rsid w:val="007C3DD3"/>
    <w:rsid w:val="007E3ABC"/>
    <w:rsid w:val="007E60A2"/>
    <w:rsid w:val="007F0AB4"/>
    <w:rsid w:val="007F21A2"/>
    <w:rsid w:val="007F27BF"/>
    <w:rsid w:val="00801EA1"/>
    <w:rsid w:val="0081190B"/>
    <w:rsid w:val="00814444"/>
    <w:rsid w:val="008345A7"/>
    <w:rsid w:val="00835A99"/>
    <w:rsid w:val="008413AA"/>
    <w:rsid w:val="00864F29"/>
    <w:rsid w:val="00870136"/>
    <w:rsid w:val="00876A12"/>
    <w:rsid w:val="00892D9B"/>
    <w:rsid w:val="008A0B63"/>
    <w:rsid w:val="008B2695"/>
    <w:rsid w:val="008B7372"/>
    <w:rsid w:val="008D4908"/>
    <w:rsid w:val="008F2B1C"/>
    <w:rsid w:val="00922D5C"/>
    <w:rsid w:val="0092669F"/>
    <w:rsid w:val="00930E86"/>
    <w:rsid w:val="009417EB"/>
    <w:rsid w:val="00993935"/>
    <w:rsid w:val="009941D1"/>
    <w:rsid w:val="009B7E9D"/>
    <w:rsid w:val="009C5A3B"/>
    <w:rsid w:val="009E4199"/>
    <w:rsid w:val="009E6327"/>
    <w:rsid w:val="009F4E87"/>
    <w:rsid w:val="00A0658E"/>
    <w:rsid w:val="00A1437B"/>
    <w:rsid w:val="00A5475A"/>
    <w:rsid w:val="00A85AB6"/>
    <w:rsid w:val="00A901A2"/>
    <w:rsid w:val="00AA7E91"/>
    <w:rsid w:val="00AB1549"/>
    <w:rsid w:val="00AC44AD"/>
    <w:rsid w:val="00AD4A6B"/>
    <w:rsid w:val="00AE1F7C"/>
    <w:rsid w:val="00AF2C84"/>
    <w:rsid w:val="00B15470"/>
    <w:rsid w:val="00B81243"/>
    <w:rsid w:val="00B9009E"/>
    <w:rsid w:val="00B90B6A"/>
    <w:rsid w:val="00BB69F5"/>
    <w:rsid w:val="00BD2FFA"/>
    <w:rsid w:val="00BD527B"/>
    <w:rsid w:val="00BD5506"/>
    <w:rsid w:val="00BE17A9"/>
    <w:rsid w:val="00C4645A"/>
    <w:rsid w:val="00C46507"/>
    <w:rsid w:val="00C53305"/>
    <w:rsid w:val="00C64FD9"/>
    <w:rsid w:val="00C727A1"/>
    <w:rsid w:val="00CA126F"/>
    <w:rsid w:val="00CC2F00"/>
    <w:rsid w:val="00D047C6"/>
    <w:rsid w:val="00D11C93"/>
    <w:rsid w:val="00D16867"/>
    <w:rsid w:val="00D2141D"/>
    <w:rsid w:val="00D47001"/>
    <w:rsid w:val="00D6145D"/>
    <w:rsid w:val="00D61DD4"/>
    <w:rsid w:val="00D72A70"/>
    <w:rsid w:val="00DC38D5"/>
    <w:rsid w:val="00DC58FD"/>
    <w:rsid w:val="00E05CC8"/>
    <w:rsid w:val="00E22A80"/>
    <w:rsid w:val="00E2449C"/>
    <w:rsid w:val="00E30F5F"/>
    <w:rsid w:val="00E3583D"/>
    <w:rsid w:val="00E61E85"/>
    <w:rsid w:val="00E77FE0"/>
    <w:rsid w:val="00E87AEC"/>
    <w:rsid w:val="00E9284D"/>
    <w:rsid w:val="00EA4208"/>
    <w:rsid w:val="00EB3423"/>
    <w:rsid w:val="00F02643"/>
    <w:rsid w:val="00F054F8"/>
    <w:rsid w:val="00F14481"/>
    <w:rsid w:val="00F2246E"/>
    <w:rsid w:val="00F3416C"/>
    <w:rsid w:val="00F463F6"/>
    <w:rsid w:val="00F70E2D"/>
    <w:rsid w:val="00FB16A6"/>
    <w:rsid w:val="00FC4147"/>
    <w:rsid w:val="00FC6686"/>
    <w:rsid w:val="00FD1B26"/>
    <w:rsid w:val="00FE4EF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53601"/>
    <o:shapelayout v:ext="edit">
      <o:idmap v:ext="edit" data="1"/>
      <o:rules v:ext="edit">
        <o:r id="V:Rule3" type="connector" idref="#_x0000_s1027"/>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11083"/>
    <w:pPr>
      <w:keepNext/>
      <w:keepLines/>
      <w:jc w:val="both"/>
    </w:pPr>
    <w:rPr>
      <w:rFonts w:ascii="Arial" w:hAnsi="Arial"/>
      <w:szCs w:val="24"/>
      <w:lang w:val="en-US" w:eastAsia="en-US" w:bidi="en-US"/>
    </w:rPr>
  </w:style>
  <w:style w:type="paragraph" w:styleId="Titre1">
    <w:name w:val="heading 1"/>
    <w:basedOn w:val="Normal"/>
    <w:next w:val="paragraphe"/>
    <w:link w:val="Titre1Car"/>
    <w:uiPriority w:val="9"/>
    <w:qFormat/>
    <w:rsid w:val="00A901A2"/>
    <w:pPr>
      <w:numPr>
        <w:numId w:val="26"/>
      </w:numPr>
      <w:spacing w:after="240"/>
      <w:outlineLvl w:val="0"/>
    </w:pPr>
    <w:rPr>
      <w:b/>
      <w:bCs/>
      <w:smallCaps/>
      <w:kern w:val="32"/>
      <w:szCs w:val="32"/>
    </w:rPr>
  </w:style>
  <w:style w:type="paragraph" w:styleId="Titre2">
    <w:name w:val="heading 2"/>
    <w:basedOn w:val="Normal"/>
    <w:next w:val="paragraphe"/>
    <w:link w:val="Titre2Car"/>
    <w:uiPriority w:val="9"/>
    <w:unhideWhenUsed/>
    <w:qFormat/>
    <w:rsid w:val="00A901A2"/>
    <w:pPr>
      <w:numPr>
        <w:ilvl w:val="1"/>
        <w:numId w:val="26"/>
      </w:numPr>
      <w:spacing w:after="240"/>
      <w:outlineLvl w:val="1"/>
    </w:pPr>
    <w:rPr>
      <w:b/>
      <w:bCs/>
      <w:iCs/>
      <w:szCs w:val="28"/>
    </w:rPr>
  </w:style>
  <w:style w:type="paragraph" w:styleId="Titre3">
    <w:name w:val="heading 3"/>
    <w:basedOn w:val="Normal"/>
    <w:next w:val="paragraphe"/>
    <w:link w:val="Titre3Car"/>
    <w:uiPriority w:val="9"/>
    <w:unhideWhenUsed/>
    <w:qFormat/>
    <w:rsid w:val="00A901A2"/>
    <w:pPr>
      <w:numPr>
        <w:ilvl w:val="2"/>
        <w:numId w:val="26"/>
      </w:numPr>
      <w:spacing w:after="240"/>
      <w:outlineLvl w:val="2"/>
    </w:pPr>
    <w:rPr>
      <w:bCs/>
      <w:szCs w:val="26"/>
      <w:u w:val="single"/>
    </w:rPr>
  </w:style>
  <w:style w:type="paragraph" w:styleId="Titre4">
    <w:name w:val="heading 4"/>
    <w:basedOn w:val="Normal"/>
    <w:next w:val="paragraphe"/>
    <w:link w:val="Titre4Car"/>
    <w:uiPriority w:val="9"/>
    <w:unhideWhenUsed/>
    <w:qFormat/>
    <w:rsid w:val="00A901A2"/>
    <w:pPr>
      <w:numPr>
        <w:ilvl w:val="3"/>
        <w:numId w:val="26"/>
      </w:numPr>
      <w:spacing w:after="240"/>
      <w:outlineLvl w:val="3"/>
    </w:pPr>
    <w:rPr>
      <w:bCs/>
      <w:i/>
      <w:szCs w:val="28"/>
    </w:rPr>
  </w:style>
  <w:style w:type="paragraph" w:styleId="Titre5">
    <w:name w:val="heading 5"/>
    <w:basedOn w:val="Normal"/>
    <w:next w:val="Titre5-paragraphe"/>
    <w:link w:val="Titre5Car"/>
    <w:uiPriority w:val="9"/>
    <w:unhideWhenUsed/>
    <w:qFormat/>
    <w:rsid w:val="00A901A2"/>
    <w:pPr>
      <w:numPr>
        <w:ilvl w:val="4"/>
        <w:numId w:val="26"/>
      </w:numPr>
      <w:spacing w:after="240"/>
      <w:outlineLvl w:val="4"/>
    </w:pPr>
    <w:rPr>
      <w:bCs/>
      <w:i/>
      <w:iCs/>
      <w:szCs w:val="26"/>
    </w:rPr>
  </w:style>
  <w:style w:type="paragraph" w:styleId="Titre6">
    <w:name w:val="heading 6"/>
    <w:basedOn w:val="Normal"/>
    <w:next w:val="Titre6-paragraphe"/>
    <w:link w:val="Titre6Car"/>
    <w:uiPriority w:val="9"/>
    <w:unhideWhenUsed/>
    <w:qFormat/>
    <w:rsid w:val="00A901A2"/>
    <w:pPr>
      <w:numPr>
        <w:ilvl w:val="5"/>
        <w:numId w:val="26"/>
      </w:numPr>
      <w:spacing w:after="240"/>
      <w:outlineLvl w:val="5"/>
    </w:pPr>
    <w:rPr>
      <w:bCs/>
      <w:szCs w:val="22"/>
    </w:rPr>
  </w:style>
  <w:style w:type="paragraph" w:styleId="Titre7">
    <w:name w:val="heading 7"/>
    <w:basedOn w:val="Normal"/>
    <w:next w:val="Titre7-Paragraphe"/>
    <w:link w:val="Titre7Car"/>
    <w:uiPriority w:val="9"/>
    <w:unhideWhenUsed/>
    <w:qFormat/>
    <w:rsid w:val="00A901A2"/>
    <w:pPr>
      <w:numPr>
        <w:ilvl w:val="6"/>
        <w:numId w:val="26"/>
      </w:numPr>
      <w:spacing w:after="240"/>
      <w:outlineLvl w:val="6"/>
    </w:pPr>
  </w:style>
  <w:style w:type="paragraph" w:styleId="Titre8">
    <w:name w:val="heading 8"/>
    <w:basedOn w:val="Normal"/>
    <w:next w:val="Normal"/>
    <w:link w:val="Titre8Car"/>
    <w:uiPriority w:val="9"/>
    <w:unhideWhenUsed/>
    <w:rsid w:val="00A901A2"/>
    <w:pPr>
      <w:numPr>
        <w:ilvl w:val="7"/>
        <w:numId w:val="26"/>
      </w:numPr>
      <w:spacing w:before="240" w:after="60"/>
      <w:outlineLvl w:val="7"/>
    </w:pPr>
    <w:rPr>
      <w:i/>
      <w:iCs/>
    </w:rPr>
  </w:style>
  <w:style w:type="paragraph" w:styleId="Titre9">
    <w:name w:val="heading 9"/>
    <w:basedOn w:val="Normal"/>
    <w:next w:val="Normal"/>
    <w:link w:val="Titre9Car"/>
    <w:uiPriority w:val="9"/>
    <w:unhideWhenUsed/>
    <w:rsid w:val="00A901A2"/>
    <w:pPr>
      <w:numPr>
        <w:ilvl w:val="8"/>
        <w:numId w:val="26"/>
      </w:numPr>
      <w:spacing w:before="240" w:after="60"/>
      <w:outlineLvl w:val="8"/>
    </w:pPr>
    <w:rPr>
      <w:rFonts w:ascii="Cambria" w:hAnsi="Cambria"/>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901A2"/>
    <w:rPr>
      <w:color w:val="516676" w:themeColor="text2"/>
      <w:u w:val="single"/>
    </w:rPr>
  </w:style>
  <w:style w:type="paragraph" w:styleId="Textedebulles">
    <w:name w:val="Balloon Text"/>
    <w:basedOn w:val="Normal"/>
    <w:link w:val="TextedebullesCar"/>
    <w:uiPriority w:val="99"/>
    <w:semiHidden/>
    <w:unhideWhenUsed/>
    <w:rsid w:val="00A901A2"/>
    <w:rPr>
      <w:rFonts w:ascii="Tahoma" w:hAnsi="Tahoma" w:cs="Tahoma"/>
      <w:sz w:val="16"/>
      <w:szCs w:val="16"/>
    </w:rPr>
  </w:style>
  <w:style w:type="character" w:customStyle="1" w:styleId="TextedebullesCar">
    <w:name w:val="Texte de bulles Car"/>
    <w:basedOn w:val="Policepardfaut"/>
    <w:link w:val="Textedebulles"/>
    <w:uiPriority w:val="99"/>
    <w:semiHidden/>
    <w:rsid w:val="00A901A2"/>
    <w:rPr>
      <w:rFonts w:ascii="Tahoma" w:hAnsi="Tahoma" w:cs="Tahoma"/>
      <w:sz w:val="16"/>
      <w:szCs w:val="16"/>
      <w:lang w:eastAsia="en-US"/>
    </w:rPr>
  </w:style>
  <w:style w:type="character" w:customStyle="1" w:styleId="Titre1Car">
    <w:name w:val="Titre 1 Car"/>
    <w:basedOn w:val="Policepardfaut"/>
    <w:link w:val="Titre1"/>
    <w:uiPriority w:val="9"/>
    <w:rsid w:val="00A901A2"/>
    <w:rPr>
      <w:rFonts w:ascii="Arial" w:hAnsi="Arial"/>
      <w:b/>
      <w:bCs/>
      <w:smallCaps/>
      <w:kern w:val="32"/>
      <w:szCs w:val="32"/>
      <w:lang w:val="en-US" w:eastAsia="en-US" w:bidi="en-US"/>
    </w:rPr>
  </w:style>
  <w:style w:type="character" w:customStyle="1" w:styleId="Titre2Car">
    <w:name w:val="Titre 2 Car"/>
    <w:basedOn w:val="Policepardfaut"/>
    <w:link w:val="Titre2"/>
    <w:uiPriority w:val="9"/>
    <w:rsid w:val="00A901A2"/>
    <w:rPr>
      <w:rFonts w:ascii="Arial" w:hAnsi="Arial"/>
      <w:b/>
      <w:bCs/>
      <w:iCs/>
      <w:szCs w:val="28"/>
      <w:lang w:val="en-US" w:eastAsia="en-US" w:bidi="en-US"/>
    </w:rPr>
  </w:style>
  <w:style w:type="character" w:customStyle="1" w:styleId="Titre3Car">
    <w:name w:val="Titre 3 Car"/>
    <w:basedOn w:val="Policepardfaut"/>
    <w:link w:val="Titre3"/>
    <w:uiPriority w:val="9"/>
    <w:rsid w:val="00A901A2"/>
    <w:rPr>
      <w:rFonts w:ascii="Arial" w:hAnsi="Arial"/>
      <w:bCs/>
      <w:szCs w:val="26"/>
      <w:u w:val="single"/>
      <w:lang w:val="en-US" w:eastAsia="en-US" w:bidi="en-US"/>
    </w:rPr>
  </w:style>
  <w:style w:type="character" w:customStyle="1" w:styleId="Titre4Car">
    <w:name w:val="Titre 4 Car"/>
    <w:basedOn w:val="Policepardfaut"/>
    <w:link w:val="Titre4"/>
    <w:uiPriority w:val="9"/>
    <w:rsid w:val="00A901A2"/>
    <w:rPr>
      <w:rFonts w:ascii="Arial" w:hAnsi="Arial"/>
      <w:bCs/>
      <w:i/>
      <w:szCs w:val="28"/>
      <w:lang w:val="en-US" w:eastAsia="en-US" w:bidi="en-US"/>
    </w:rPr>
  </w:style>
  <w:style w:type="character" w:customStyle="1" w:styleId="Titre5Car">
    <w:name w:val="Titre 5 Car"/>
    <w:basedOn w:val="Policepardfaut"/>
    <w:link w:val="Titre5"/>
    <w:uiPriority w:val="9"/>
    <w:rsid w:val="00A901A2"/>
    <w:rPr>
      <w:rFonts w:ascii="Arial" w:hAnsi="Arial"/>
      <w:bCs/>
      <w:i/>
      <w:iCs/>
      <w:szCs w:val="26"/>
      <w:lang w:val="en-US" w:eastAsia="en-US" w:bidi="en-US"/>
    </w:rPr>
  </w:style>
  <w:style w:type="character" w:customStyle="1" w:styleId="Titre6Car">
    <w:name w:val="Titre 6 Car"/>
    <w:basedOn w:val="Policepardfaut"/>
    <w:link w:val="Titre6"/>
    <w:uiPriority w:val="9"/>
    <w:rsid w:val="00A901A2"/>
    <w:rPr>
      <w:rFonts w:ascii="Arial" w:hAnsi="Arial"/>
      <w:bCs/>
      <w:szCs w:val="22"/>
      <w:lang w:val="en-US" w:eastAsia="en-US" w:bidi="en-US"/>
    </w:rPr>
  </w:style>
  <w:style w:type="character" w:customStyle="1" w:styleId="Titre7Car">
    <w:name w:val="Titre 7 Car"/>
    <w:basedOn w:val="Policepardfaut"/>
    <w:link w:val="Titre7"/>
    <w:uiPriority w:val="9"/>
    <w:rsid w:val="00A901A2"/>
    <w:rPr>
      <w:rFonts w:ascii="Arial" w:hAnsi="Arial"/>
      <w:szCs w:val="24"/>
      <w:lang w:val="en-US" w:eastAsia="en-US" w:bidi="en-US"/>
    </w:rPr>
  </w:style>
  <w:style w:type="character" w:customStyle="1" w:styleId="Titre8Car">
    <w:name w:val="Titre 8 Car"/>
    <w:basedOn w:val="Policepardfaut"/>
    <w:link w:val="Titre8"/>
    <w:uiPriority w:val="9"/>
    <w:rsid w:val="00A901A2"/>
    <w:rPr>
      <w:rFonts w:ascii="Arial" w:hAnsi="Arial"/>
      <w:i/>
      <w:iCs/>
      <w:szCs w:val="24"/>
      <w:lang w:val="en-US" w:eastAsia="en-US" w:bidi="en-US"/>
    </w:rPr>
  </w:style>
  <w:style w:type="character" w:customStyle="1" w:styleId="Titre9Car">
    <w:name w:val="Titre 9 Car"/>
    <w:basedOn w:val="Policepardfaut"/>
    <w:link w:val="Titre9"/>
    <w:uiPriority w:val="9"/>
    <w:rsid w:val="00A901A2"/>
    <w:rPr>
      <w:rFonts w:ascii="Cambria" w:hAnsi="Cambria"/>
      <w:sz w:val="22"/>
      <w:szCs w:val="22"/>
      <w:lang w:val="en-US" w:eastAsia="en-US" w:bidi="en-US"/>
    </w:rPr>
  </w:style>
  <w:style w:type="paragraph" w:styleId="Titre">
    <w:name w:val="Title"/>
    <w:basedOn w:val="Normal"/>
    <w:next w:val="Normal"/>
    <w:link w:val="TitreCar"/>
    <w:uiPriority w:val="10"/>
    <w:rsid w:val="00A901A2"/>
    <w:pPr>
      <w:spacing w:before="240" w:after="60"/>
      <w:jc w:val="center"/>
      <w:outlineLvl w:val="0"/>
    </w:pPr>
    <w:rPr>
      <w:rFonts w:ascii="Cambria" w:hAnsi="Cambria"/>
      <w:b/>
      <w:bCs/>
      <w:kern w:val="28"/>
      <w:sz w:val="32"/>
      <w:szCs w:val="32"/>
    </w:rPr>
  </w:style>
  <w:style w:type="character" w:customStyle="1" w:styleId="TitreCar">
    <w:name w:val="Titre Car"/>
    <w:basedOn w:val="Policepardfaut"/>
    <w:link w:val="Titre"/>
    <w:uiPriority w:val="10"/>
    <w:rsid w:val="00A901A2"/>
    <w:rPr>
      <w:rFonts w:ascii="Cambria" w:hAnsi="Cambria"/>
      <w:b/>
      <w:bCs/>
      <w:kern w:val="28"/>
      <w:sz w:val="32"/>
      <w:szCs w:val="32"/>
      <w:lang w:val="en-US" w:eastAsia="en-US" w:bidi="en-US"/>
    </w:rPr>
  </w:style>
  <w:style w:type="paragraph" w:styleId="Sous-titre">
    <w:name w:val="Subtitle"/>
    <w:basedOn w:val="Normal"/>
    <w:next w:val="Normal"/>
    <w:link w:val="Sous-titreCar"/>
    <w:uiPriority w:val="11"/>
    <w:rsid w:val="00A901A2"/>
    <w:pPr>
      <w:spacing w:after="60"/>
      <w:jc w:val="center"/>
      <w:outlineLvl w:val="1"/>
    </w:pPr>
    <w:rPr>
      <w:rFonts w:ascii="Cambria" w:hAnsi="Cambria"/>
    </w:rPr>
  </w:style>
  <w:style w:type="character" w:customStyle="1" w:styleId="Sous-titreCar">
    <w:name w:val="Sous-titre Car"/>
    <w:basedOn w:val="Policepardfaut"/>
    <w:link w:val="Sous-titre"/>
    <w:uiPriority w:val="11"/>
    <w:rsid w:val="00A901A2"/>
    <w:rPr>
      <w:rFonts w:ascii="Cambria" w:eastAsia="Times New Roman" w:hAnsi="Cambria"/>
      <w:sz w:val="24"/>
      <w:szCs w:val="24"/>
    </w:rPr>
  </w:style>
  <w:style w:type="character" w:styleId="lev">
    <w:name w:val="Strong"/>
    <w:basedOn w:val="Policepardfaut"/>
    <w:uiPriority w:val="22"/>
    <w:rsid w:val="00A901A2"/>
    <w:rPr>
      <w:b/>
      <w:bCs/>
    </w:rPr>
  </w:style>
  <w:style w:type="character" w:styleId="Accentuation">
    <w:name w:val="Emphasis"/>
    <w:basedOn w:val="Policepardfaut"/>
    <w:uiPriority w:val="20"/>
    <w:rsid w:val="00A901A2"/>
    <w:rPr>
      <w:rFonts w:ascii="Calibri" w:hAnsi="Calibri"/>
      <w:b/>
      <w:i/>
      <w:iCs/>
    </w:rPr>
  </w:style>
  <w:style w:type="paragraph" w:styleId="Paragraphedeliste">
    <w:name w:val="List Paragraph"/>
    <w:basedOn w:val="Normal"/>
    <w:uiPriority w:val="99"/>
    <w:qFormat/>
    <w:rsid w:val="00A901A2"/>
    <w:pPr>
      <w:ind w:left="720"/>
      <w:contextualSpacing/>
    </w:pPr>
  </w:style>
  <w:style w:type="paragraph" w:styleId="Citation">
    <w:name w:val="Quote"/>
    <w:basedOn w:val="Normal"/>
    <w:next w:val="Normal"/>
    <w:link w:val="CitationCar"/>
    <w:uiPriority w:val="29"/>
    <w:rsid w:val="00A901A2"/>
    <w:rPr>
      <w:i/>
    </w:rPr>
  </w:style>
  <w:style w:type="character" w:customStyle="1" w:styleId="CitationCar">
    <w:name w:val="Citation Car"/>
    <w:basedOn w:val="Policepardfaut"/>
    <w:link w:val="Citation"/>
    <w:uiPriority w:val="29"/>
    <w:rsid w:val="00A901A2"/>
    <w:rPr>
      <w:i/>
      <w:sz w:val="24"/>
      <w:szCs w:val="24"/>
    </w:rPr>
  </w:style>
  <w:style w:type="paragraph" w:styleId="Citationintense">
    <w:name w:val="Intense Quote"/>
    <w:basedOn w:val="Normal"/>
    <w:next w:val="Normal"/>
    <w:link w:val="CitationintenseCar"/>
    <w:uiPriority w:val="30"/>
    <w:rsid w:val="00A901A2"/>
    <w:pPr>
      <w:ind w:left="720" w:right="720"/>
    </w:pPr>
    <w:rPr>
      <w:b/>
      <w:i/>
      <w:szCs w:val="22"/>
    </w:rPr>
  </w:style>
  <w:style w:type="character" w:customStyle="1" w:styleId="CitationintenseCar">
    <w:name w:val="Citation intense Car"/>
    <w:basedOn w:val="Policepardfaut"/>
    <w:link w:val="Citationintense"/>
    <w:uiPriority w:val="30"/>
    <w:rsid w:val="00A901A2"/>
    <w:rPr>
      <w:b/>
      <w:i/>
      <w:sz w:val="24"/>
    </w:rPr>
  </w:style>
  <w:style w:type="character" w:styleId="Emphaseple">
    <w:name w:val="Subtle Emphasis"/>
    <w:uiPriority w:val="19"/>
    <w:rsid w:val="00A901A2"/>
    <w:rPr>
      <w:i/>
      <w:color w:val="5A5A5A"/>
    </w:rPr>
  </w:style>
  <w:style w:type="character" w:styleId="Emphaseintense">
    <w:name w:val="Intense Emphasis"/>
    <w:basedOn w:val="Policepardfaut"/>
    <w:uiPriority w:val="21"/>
    <w:rsid w:val="00A901A2"/>
    <w:rPr>
      <w:b/>
      <w:i/>
      <w:sz w:val="24"/>
      <w:szCs w:val="24"/>
      <w:u w:val="single"/>
    </w:rPr>
  </w:style>
  <w:style w:type="character" w:styleId="Rfrenceintense">
    <w:name w:val="Intense Reference"/>
    <w:basedOn w:val="Policepardfaut"/>
    <w:uiPriority w:val="32"/>
    <w:rsid w:val="00A901A2"/>
    <w:rPr>
      <w:b/>
      <w:sz w:val="24"/>
      <w:u w:val="single"/>
    </w:rPr>
  </w:style>
  <w:style w:type="character" w:styleId="Titredulivre">
    <w:name w:val="Book Title"/>
    <w:basedOn w:val="Policepardfaut"/>
    <w:uiPriority w:val="33"/>
    <w:rsid w:val="00A901A2"/>
    <w:rPr>
      <w:rFonts w:ascii="Cambria" w:eastAsia="Times New Roman" w:hAnsi="Cambria"/>
      <w:b/>
      <w:i/>
      <w:sz w:val="24"/>
      <w:szCs w:val="24"/>
    </w:rPr>
  </w:style>
  <w:style w:type="paragraph" w:styleId="En-ttedetabledesmatires">
    <w:name w:val="TOC Heading"/>
    <w:basedOn w:val="Titre1"/>
    <w:next w:val="Normal"/>
    <w:uiPriority w:val="39"/>
    <w:semiHidden/>
    <w:unhideWhenUsed/>
    <w:qFormat/>
    <w:rsid w:val="00A901A2"/>
    <w:pPr>
      <w:outlineLvl w:val="9"/>
    </w:pPr>
  </w:style>
  <w:style w:type="paragraph" w:styleId="En-tte">
    <w:name w:val="header"/>
    <w:basedOn w:val="Normal"/>
    <w:link w:val="En-tteCar"/>
    <w:uiPriority w:val="99"/>
    <w:semiHidden/>
    <w:unhideWhenUsed/>
    <w:rsid w:val="00A901A2"/>
    <w:pPr>
      <w:tabs>
        <w:tab w:val="center" w:pos="4536"/>
        <w:tab w:val="right" w:pos="9072"/>
      </w:tabs>
    </w:pPr>
  </w:style>
  <w:style w:type="character" w:customStyle="1" w:styleId="En-tteCar">
    <w:name w:val="En-tête Car"/>
    <w:basedOn w:val="Policepardfaut"/>
    <w:link w:val="En-tte"/>
    <w:uiPriority w:val="99"/>
    <w:semiHidden/>
    <w:rsid w:val="00A901A2"/>
    <w:rPr>
      <w:sz w:val="24"/>
      <w:szCs w:val="24"/>
    </w:rPr>
  </w:style>
  <w:style w:type="paragraph" w:styleId="Pieddepage">
    <w:name w:val="footer"/>
    <w:basedOn w:val="Normal"/>
    <w:link w:val="PieddepageCar"/>
    <w:uiPriority w:val="99"/>
    <w:unhideWhenUsed/>
    <w:rsid w:val="00A901A2"/>
    <w:pPr>
      <w:tabs>
        <w:tab w:val="center" w:pos="4536"/>
        <w:tab w:val="right" w:pos="9072"/>
      </w:tabs>
      <w:spacing w:after="60"/>
    </w:pPr>
    <w:rPr>
      <w:sz w:val="16"/>
      <w:szCs w:val="16"/>
      <w:lang w:val="fr-FR"/>
    </w:rPr>
  </w:style>
  <w:style w:type="character" w:customStyle="1" w:styleId="PieddepageCar">
    <w:name w:val="Pied de page Car"/>
    <w:basedOn w:val="Policepardfaut"/>
    <w:link w:val="Pieddepage"/>
    <w:uiPriority w:val="99"/>
    <w:rsid w:val="00A901A2"/>
    <w:rPr>
      <w:rFonts w:ascii="Arial" w:hAnsi="Arial"/>
      <w:sz w:val="16"/>
      <w:szCs w:val="16"/>
      <w:lang w:eastAsia="en-US" w:bidi="en-US"/>
    </w:rPr>
  </w:style>
  <w:style w:type="paragraph" w:styleId="Notedebasdepage">
    <w:name w:val="footnote text"/>
    <w:basedOn w:val="Normal"/>
    <w:link w:val="NotedebasdepageCar"/>
    <w:uiPriority w:val="99"/>
    <w:unhideWhenUsed/>
    <w:qFormat/>
    <w:rsid w:val="00A901A2"/>
    <w:pPr>
      <w:tabs>
        <w:tab w:val="left" w:pos="709"/>
      </w:tabs>
      <w:ind w:left="709" w:hanging="709"/>
    </w:pPr>
    <w:rPr>
      <w:sz w:val="16"/>
      <w:szCs w:val="20"/>
      <w:lang w:val="fr-FR"/>
    </w:rPr>
  </w:style>
  <w:style w:type="character" w:customStyle="1" w:styleId="NotedebasdepageCar">
    <w:name w:val="Note de bas de page Car"/>
    <w:basedOn w:val="Policepardfaut"/>
    <w:link w:val="Notedebasdepage"/>
    <w:uiPriority w:val="99"/>
    <w:rsid w:val="00A901A2"/>
    <w:rPr>
      <w:rFonts w:ascii="Arial" w:hAnsi="Arial"/>
      <w:sz w:val="16"/>
      <w:lang w:eastAsia="en-US" w:bidi="en-US"/>
    </w:rPr>
  </w:style>
  <w:style w:type="character" w:styleId="Appelnotedebasdep">
    <w:name w:val="footnote reference"/>
    <w:basedOn w:val="Policepardfaut"/>
    <w:uiPriority w:val="99"/>
    <w:unhideWhenUsed/>
    <w:rsid w:val="00A901A2"/>
    <w:rPr>
      <w:rFonts w:ascii="Arial" w:hAnsi="Arial"/>
      <w:sz w:val="20"/>
      <w:vertAlign w:val="superscript"/>
    </w:rPr>
  </w:style>
  <w:style w:type="paragraph" w:customStyle="1" w:styleId="paragraphe">
    <w:name w:val="paragraphe"/>
    <w:basedOn w:val="Titre1"/>
    <w:link w:val="paragrapheCar"/>
    <w:qFormat/>
    <w:rsid w:val="00A901A2"/>
    <w:pPr>
      <w:numPr>
        <w:numId w:val="0"/>
      </w:numPr>
      <w:ind w:left="709"/>
      <w:outlineLvl w:val="9"/>
    </w:pPr>
    <w:rPr>
      <w:b w:val="0"/>
      <w:smallCaps w:val="0"/>
      <w:lang w:val="fr-FR"/>
    </w:rPr>
  </w:style>
  <w:style w:type="paragraph" w:customStyle="1" w:styleId="Titre6-paragraphe">
    <w:name w:val="Titre 6 - paragraphe"/>
    <w:basedOn w:val="paragraphe"/>
    <w:link w:val="Titre6-paragrapheCar"/>
    <w:rsid w:val="00A901A2"/>
    <w:pPr>
      <w:ind w:left="1559"/>
    </w:pPr>
  </w:style>
  <w:style w:type="character" w:customStyle="1" w:styleId="paragrapheCar">
    <w:name w:val="paragraphe Car"/>
    <w:basedOn w:val="Titre1Car"/>
    <w:link w:val="paragraphe"/>
    <w:rsid w:val="00A901A2"/>
    <w:rPr>
      <w:bCs/>
    </w:rPr>
  </w:style>
  <w:style w:type="paragraph" w:customStyle="1" w:styleId="Titre5-paragraphe">
    <w:name w:val="Titre 5 - paragraphe"/>
    <w:basedOn w:val="paragraphe"/>
    <w:link w:val="Titre5-paragrapheCar"/>
    <w:rsid w:val="00A901A2"/>
    <w:pPr>
      <w:ind w:left="1134"/>
    </w:pPr>
  </w:style>
  <w:style w:type="character" w:customStyle="1" w:styleId="Titre6-paragrapheCar">
    <w:name w:val="Titre 6 - paragraphe Car"/>
    <w:basedOn w:val="paragrapheCar"/>
    <w:link w:val="Titre6-paragraphe"/>
    <w:rsid w:val="00A901A2"/>
  </w:style>
  <w:style w:type="paragraph" w:customStyle="1" w:styleId="Pieddepage-titre">
    <w:name w:val="Pied de page - titre"/>
    <w:basedOn w:val="Pieddepage"/>
    <w:link w:val="Pieddepage-titreCar"/>
    <w:rsid w:val="00A901A2"/>
    <w:rPr>
      <w:vanish/>
      <w:color w:val="390037" w:themeColor="accent6" w:themeShade="A6"/>
      <w:sz w:val="12"/>
      <w:szCs w:val="12"/>
    </w:rPr>
  </w:style>
  <w:style w:type="character" w:customStyle="1" w:styleId="Titre5-paragrapheCar">
    <w:name w:val="Titre 5 - paragraphe Car"/>
    <w:basedOn w:val="paragrapheCar"/>
    <w:link w:val="Titre5-paragraphe"/>
    <w:rsid w:val="00A901A2"/>
  </w:style>
  <w:style w:type="character" w:customStyle="1" w:styleId="Pieddepage-titreCar">
    <w:name w:val="Pied de page - titre Car"/>
    <w:basedOn w:val="PieddepageCar"/>
    <w:link w:val="Pieddepage-titre"/>
    <w:rsid w:val="00A901A2"/>
    <w:rPr>
      <w:vanish/>
      <w:color w:val="390037" w:themeColor="accent6" w:themeShade="A6"/>
      <w:sz w:val="12"/>
      <w:szCs w:val="12"/>
    </w:rPr>
  </w:style>
  <w:style w:type="paragraph" w:customStyle="1" w:styleId="Titre7-Paragraphe">
    <w:name w:val="Titre 7 - Paragraphe"/>
    <w:basedOn w:val="Titre6-paragraphe"/>
    <w:link w:val="Titre7-ParagrapheCar"/>
    <w:rsid w:val="00A901A2"/>
    <w:pPr>
      <w:ind w:left="1843"/>
    </w:pPr>
    <w:rPr>
      <w:lang w:val="en-US"/>
    </w:rPr>
  </w:style>
  <w:style w:type="character" w:customStyle="1" w:styleId="Titre7-ParagrapheCar">
    <w:name w:val="Titre 7 - Paragraphe Car"/>
    <w:basedOn w:val="Titre6-paragrapheCar"/>
    <w:link w:val="Titre7-Paragraphe"/>
    <w:rsid w:val="00A901A2"/>
  </w:style>
  <w:style w:type="paragraph" w:styleId="Corpsdetexte">
    <w:name w:val="Body Text"/>
    <w:basedOn w:val="Normal"/>
    <w:link w:val="CorpsdetexteCar"/>
    <w:uiPriority w:val="99"/>
    <w:rsid w:val="00011083"/>
    <w:pPr>
      <w:keepNext w:val="0"/>
      <w:keepLines w:val="0"/>
    </w:pPr>
    <w:rPr>
      <w:rFonts w:ascii="Times" w:hAnsi="Times"/>
      <w:sz w:val="24"/>
      <w:szCs w:val="20"/>
      <w:lang w:val="fr-FR" w:bidi="ar-SA"/>
    </w:rPr>
  </w:style>
  <w:style w:type="character" w:customStyle="1" w:styleId="CorpsdetexteCar">
    <w:name w:val="Corps de texte Car"/>
    <w:basedOn w:val="Policepardfaut"/>
    <w:link w:val="Corpsdetexte"/>
    <w:uiPriority w:val="99"/>
    <w:rsid w:val="00011083"/>
    <w:rPr>
      <w:rFonts w:ascii="Times" w:hAnsi="Times"/>
      <w:sz w:val="24"/>
      <w:lang w:eastAsia="en-US"/>
    </w:rPr>
  </w:style>
  <w:style w:type="table" w:styleId="Grilledutableau">
    <w:name w:val="Table Grid"/>
    <w:basedOn w:val="TableauNormal"/>
    <w:uiPriority w:val="59"/>
    <w:rsid w:val="00011083"/>
    <w:tblPr>
      <w:tblInd w:w="0" w:type="dxa"/>
      <w:tblBorders>
        <w:top w:val="single" w:sz="4" w:space="0" w:color="FFFFFF" w:themeColor="text1"/>
        <w:left w:val="single" w:sz="4" w:space="0" w:color="FFFFFF" w:themeColor="text1"/>
        <w:bottom w:val="single" w:sz="4" w:space="0" w:color="FFFFFF" w:themeColor="text1"/>
        <w:right w:val="single" w:sz="4" w:space="0" w:color="FFFFFF" w:themeColor="text1"/>
        <w:insideH w:val="single" w:sz="4" w:space="0" w:color="FFFFFF" w:themeColor="text1"/>
        <w:insideV w:val="single" w:sz="4" w:space="0" w:color="FFFFFF" w:themeColor="text1"/>
      </w:tblBorders>
      <w:tblCellMar>
        <w:top w:w="0" w:type="dxa"/>
        <w:left w:w="108" w:type="dxa"/>
        <w:bottom w:w="0" w:type="dxa"/>
        <w:right w:w="108" w:type="dxa"/>
      </w:tblCellMar>
    </w:tblPr>
  </w:style>
  <w:style w:type="paragraph" w:customStyle="1" w:styleId="Default">
    <w:name w:val="Default"/>
    <w:rsid w:val="008345A7"/>
    <w:pPr>
      <w:autoSpaceDE w:val="0"/>
      <w:autoSpaceDN w:val="0"/>
      <w:adjustRightInd w:val="0"/>
    </w:pPr>
    <w:rPr>
      <w:rFonts w:ascii="Arial" w:hAnsi="Arial" w:cs="Arial"/>
      <w:color w:val="000000"/>
      <w:sz w:val="24"/>
      <w:szCs w:val="24"/>
    </w:rPr>
  </w:style>
  <w:style w:type="character" w:styleId="Marquedecommentaire">
    <w:name w:val="annotation reference"/>
    <w:basedOn w:val="Policepardfaut"/>
    <w:uiPriority w:val="99"/>
    <w:semiHidden/>
    <w:unhideWhenUsed/>
    <w:rsid w:val="004536B7"/>
    <w:rPr>
      <w:sz w:val="16"/>
      <w:szCs w:val="16"/>
    </w:rPr>
  </w:style>
  <w:style w:type="paragraph" w:styleId="Commentaire">
    <w:name w:val="annotation text"/>
    <w:basedOn w:val="Normal"/>
    <w:link w:val="CommentaireCar"/>
    <w:uiPriority w:val="99"/>
    <w:semiHidden/>
    <w:unhideWhenUsed/>
    <w:rsid w:val="004536B7"/>
    <w:rPr>
      <w:szCs w:val="20"/>
    </w:rPr>
  </w:style>
  <w:style w:type="character" w:customStyle="1" w:styleId="CommentaireCar">
    <w:name w:val="Commentaire Car"/>
    <w:basedOn w:val="Policepardfaut"/>
    <w:link w:val="Commentaire"/>
    <w:uiPriority w:val="99"/>
    <w:semiHidden/>
    <w:rsid w:val="004536B7"/>
    <w:rPr>
      <w:rFonts w:ascii="Arial" w:hAnsi="Arial"/>
      <w:lang w:val="en-US" w:eastAsia="en-US" w:bidi="en-US"/>
    </w:rPr>
  </w:style>
  <w:style w:type="paragraph" w:styleId="Objetducommentaire">
    <w:name w:val="annotation subject"/>
    <w:basedOn w:val="Commentaire"/>
    <w:next w:val="Commentaire"/>
    <w:link w:val="ObjetducommentaireCar"/>
    <w:uiPriority w:val="99"/>
    <w:semiHidden/>
    <w:unhideWhenUsed/>
    <w:rsid w:val="004536B7"/>
    <w:rPr>
      <w:b/>
      <w:bCs/>
    </w:rPr>
  </w:style>
  <w:style w:type="character" w:customStyle="1" w:styleId="ObjetducommentaireCar">
    <w:name w:val="Objet du commentaire Car"/>
    <w:basedOn w:val="CommentaireCar"/>
    <w:link w:val="Objetducommentaire"/>
    <w:uiPriority w:val="99"/>
    <w:semiHidden/>
    <w:rsid w:val="004536B7"/>
    <w:rPr>
      <w:b/>
      <w:bCs/>
    </w:rPr>
  </w:style>
  <w:style w:type="paragraph" w:styleId="Rvision">
    <w:name w:val="Revision"/>
    <w:hidden/>
    <w:uiPriority w:val="99"/>
    <w:semiHidden/>
    <w:rsid w:val="00307283"/>
    <w:rPr>
      <w:rFonts w:ascii="Arial" w:hAnsi="Arial"/>
      <w:szCs w:val="24"/>
      <w:lang w:val="en-US" w:eastAsia="en-US"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Taj Theme">
  <a:themeElements>
    <a:clrScheme name="Thème colors Taj">
      <a:dk1>
        <a:srgbClr val="FFFFFF"/>
      </a:dk1>
      <a:lt1>
        <a:srgbClr val="000000"/>
      </a:lt1>
      <a:dk2>
        <a:srgbClr val="516676"/>
      </a:dk2>
      <a:lt2>
        <a:srgbClr val="B2262D"/>
      </a:lt2>
      <a:accent1>
        <a:srgbClr val="01175E"/>
      </a:accent1>
      <a:accent2>
        <a:srgbClr val="008000"/>
      </a:accent2>
      <a:accent3>
        <a:srgbClr val="F08800"/>
      </a:accent3>
      <a:accent4>
        <a:srgbClr val="69008E"/>
      </a:accent4>
      <a:accent5>
        <a:srgbClr val="FFCC00"/>
      </a:accent5>
      <a:accent6>
        <a:srgbClr val="580056"/>
      </a:accent6>
      <a:hlink>
        <a:srgbClr val="516676"/>
      </a:hlink>
      <a:folHlink>
        <a:srgbClr val="51667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8D857-7C18-4E0A-B3F3-E169C642757F}">
  <ds:schemaRefs>
    <ds:schemaRef ds:uri="http://schemas.openxmlformats.org/officeDocument/2006/bibliography"/>
  </ds:schemaRefs>
</ds:datastoreItem>
</file>

<file path=customXml/itemProps2.xml><?xml version="1.0" encoding="utf-8"?>
<ds:datastoreItem xmlns:ds="http://schemas.openxmlformats.org/officeDocument/2006/customXml" ds:itemID="{077A131F-51A8-4128-B2F9-1B28462CD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1990</Words>
  <Characters>10945</Characters>
  <Application>Microsoft Office Word</Application>
  <DocSecurity>0</DocSecurity>
  <Lines>91</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Deloitte.</Company>
  <LinksUpToDate>false</LinksUpToDate>
  <CharactersWithSpaces>12910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 - Myriam Cuvellier</dc:creator>
  <cp:lastModifiedBy>FROMAGERC</cp:lastModifiedBy>
  <cp:revision>2</cp:revision>
  <cp:lastPrinted>2012-03-02T16:11:00Z</cp:lastPrinted>
  <dcterms:created xsi:type="dcterms:W3CDTF">2012-03-14T17:14:00Z</dcterms:created>
  <dcterms:modified xsi:type="dcterms:W3CDTF">2012-03-14T17:14:00Z</dcterms:modified>
</cp:coreProperties>
</file>